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#111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R2-2007145</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 – 2</w:t>
      </w:r>
      <w:r>
        <w:rPr>
          <w:rFonts w:hint="eastAsia" w:ascii="Arial" w:hAnsi="Arial" w:cs="Arial"/>
          <w:b/>
          <w:bCs/>
          <w:sz w:val="24"/>
          <w:szCs w:val="24"/>
          <w:lang w:val="en-US" w:eastAsia="zh-CN"/>
        </w:rPr>
        <w:t>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Discussion on the TSN enhancements</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8.5.2</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According to the IIOT/URLLC WID [1] as quoted below, one major objective to support the time synchronization when a UE which is attached with a clock master transmits the gPTP message to another UE. In this contribution, we provide our understanding on the potential enhancements of the TSN network.</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7"/>
              </w:numPr>
              <w:spacing w:after="0" w:line="240" w:lineRule="auto"/>
              <w:jc w:val="left"/>
              <w:rPr>
                <w:bCs/>
              </w:rPr>
            </w:pPr>
            <w:r>
              <w:rPr>
                <w:bCs/>
              </w:rPr>
              <w:t>Enhancements for support of time synchronization:</w:t>
            </w:r>
          </w:p>
          <w:p>
            <w:pPr>
              <w:numPr>
                <w:ilvl w:val="0"/>
                <w:numId w:val="8"/>
              </w:numPr>
              <w:spacing w:after="0" w:line="240" w:lineRule="auto"/>
              <w:jc w:val="left"/>
              <w:rPr>
                <w:bCs/>
              </w:rPr>
            </w:pPr>
            <w:r>
              <w:rPr>
                <w:lang w:val="en-US"/>
              </w:rPr>
              <w:t>RAN impacts of SA2 work on uplink time synchronization for TSN, if any.</w:t>
            </w:r>
            <w:r>
              <w:rPr>
                <w:bCs/>
              </w:rPr>
              <w:t xml:space="preserve"> [RAN2]</w:t>
            </w:r>
          </w:p>
          <w:p>
            <w:pPr>
              <w:numPr>
                <w:ilvl w:val="0"/>
                <w:numId w:val="8"/>
              </w:numPr>
              <w:spacing w:after="180" w:line="240" w:lineRule="auto"/>
              <w:ind w:left="1434" w:hanging="357"/>
              <w:jc w:val="left"/>
              <w:rPr>
                <w:bCs/>
              </w:rPr>
            </w:pPr>
            <w:r>
              <w:rPr>
                <w:bCs/>
              </w:rPr>
              <w:t>Propagation delay compensation enhancements (including mobility issues, if any). [RAN2, RAN1, RAN3, RAN4]</w:t>
            </w:r>
          </w:p>
        </w:tc>
      </w:tr>
    </w:tbl>
    <w:p/>
    <w:p>
      <w:pPr>
        <w:pStyle w:val="2"/>
        <w:jc w:val="left"/>
      </w:pPr>
      <w:r>
        <w:rPr>
          <w:rFonts w:hint="eastAsia"/>
        </w:rPr>
        <w:t>Discussion</w:t>
      </w:r>
    </w:p>
    <w:p>
      <w:pPr>
        <w:pStyle w:val="3"/>
        <w:keepLines w:val="0"/>
        <w:tabs>
          <w:tab w:val="left" w:pos="576"/>
        </w:tabs>
        <w:spacing w:line="240" w:lineRule="auto"/>
        <w:ind w:left="0" w:firstLine="0"/>
        <w:jc w:val="left"/>
        <w:rPr>
          <w:b/>
        </w:rPr>
      </w:pPr>
      <w:r>
        <w:t>Inaccuracy analysis</w:t>
      </w:r>
    </w:p>
    <w:p>
      <w:pPr>
        <w:keepNext/>
        <w:jc w:val="center"/>
      </w:pPr>
      <w:r>
        <w:object>
          <v:shape id="_x0000_i1025" o:spt="75" type="#_x0000_t75" style="height:180.75pt;width:467.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4"/>
        <w:jc w:val="center"/>
      </w:pPr>
      <w:r>
        <w:t xml:space="preserve">Figure </w:t>
      </w:r>
      <w:r>
        <w:fldChar w:fldCharType="begin"/>
      </w:r>
      <w:r>
        <w:instrText xml:space="preserve"> SEQ Figure \* ARABIC </w:instrText>
      </w:r>
      <w:r>
        <w:fldChar w:fldCharType="separate"/>
      </w:r>
      <w:r>
        <w:t>1</w:t>
      </w:r>
      <w:r>
        <w:fldChar w:fldCharType="end"/>
      </w:r>
      <w:r>
        <w:t>: UE-to-UE gPTP message transmission</w:t>
      </w:r>
    </w:p>
    <w:p>
      <w:r>
        <w:t>An example of UE-to-UE gPTP message transmission is illustrated above. As two UE(s) need to be synchronized with the 5G GM</w:t>
      </w:r>
      <w:r>
        <w:rPr>
          <w:rFonts w:hint="eastAsia"/>
        </w:rPr>
        <w:t xml:space="preserve"> </w:t>
      </w:r>
      <w:r>
        <w:t xml:space="preserve">via the reference time provided by the gNB. Then the errors added by the two UEs would be doubled. </w:t>
      </w:r>
    </w:p>
    <w:p>
      <w:pPr>
        <w:keepNext/>
        <w:jc w:val="center"/>
      </w:pPr>
      <w:r>
        <w:object>
          <v:shape id="_x0000_i1026" o:spt="75" type="#_x0000_t75" style="height:384pt;width:351.7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14"/>
        <w:jc w:val="center"/>
      </w:pPr>
      <w:r>
        <w:t xml:space="preserve">Figure </w:t>
      </w:r>
      <w:r>
        <w:fldChar w:fldCharType="begin"/>
      </w:r>
      <w:r>
        <w:instrText xml:space="preserve"> SEQ Figure \* ARABIC </w:instrText>
      </w:r>
      <w:r>
        <w:fldChar w:fldCharType="separate"/>
      </w:r>
      <w:r>
        <w:t>2</w:t>
      </w:r>
      <w:r>
        <w:fldChar w:fldCharType="end"/>
      </w:r>
      <w:r>
        <w:t>: Procedure of reference time provisioning and propagation delay compensation</w:t>
      </w:r>
    </w:p>
    <w:p>
      <w:r>
        <w:t>The following inaccuracy analysis is calculated after removing the propagation delay by using N</w:t>
      </w:r>
      <w:r>
        <w:rPr>
          <w:vertAlign w:val="subscript"/>
        </w:rPr>
        <w:t>TA</w:t>
      </w:r>
      <w:r>
        <w:t>/2. The whole procedure of reference time provisioning in the UE includes two separate procedures:</w:t>
      </w:r>
    </w:p>
    <w:p>
      <w:pPr>
        <w:pStyle w:val="71"/>
        <w:numPr>
          <w:ilvl w:val="0"/>
          <w:numId w:val="9"/>
        </w:numPr>
        <w:ind w:firstLineChars="0"/>
      </w:pPr>
      <w:r>
        <w:t>Procedure 1: The gNB provides the referenceTime (which is pointed to a specific SFN) to the UE via SIB/DLInfomationTransfer.</w:t>
      </w:r>
    </w:p>
    <w:p>
      <w:pPr>
        <w:pStyle w:val="71"/>
        <w:numPr>
          <w:ilvl w:val="0"/>
          <w:numId w:val="9"/>
        </w:numPr>
        <w:ind w:firstLineChars="0"/>
      </w:pPr>
      <w:r>
        <w:t>Procedure 2: The UE after receiving the network indication of requiring the propagation compensation triggers RACH to obtain an N</w:t>
      </w:r>
      <w:r>
        <w:rPr>
          <w:vertAlign w:val="subscript"/>
        </w:rPr>
        <w:t>TA</w:t>
      </w:r>
      <w:r>
        <w:rPr>
          <w:i/>
          <w:vertAlign w:val="subscript"/>
        </w:rPr>
        <w:t xml:space="preserve"> </w:t>
      </w:r>
      <w:r>
        <w:t>closest to the provided referenceTime.</w:t>
      </w:r>
    </w:p>
    <w:p>
      <w:pPr>
        <w:rPr>
          <w:lang w:eastAsia="ko-KR"/>
        </w:rPr>
      </w:pPr>
      <w:r>
        <w:rPr>
          <w:lang w:eastAsia="ko-KR"/>
        </w:rPr>
        <w:t>The structure and error components of the following table are based on [2][3][4].</w:t>
      </w:r>
    </w:p>
    <w:p>
      <w:pPr>
        <w:pStyle w:val="14"/>
        <w:keepNext/>
        <w:jc w:val="center"/>
      </w:pPr>
      <w:r>
        <w:t xml:space="preserve">Table </w:t>
      </w:r>
      <w:r>
        <w:fldChar w:fldCharType="begin"/>
      </w:r>
      <w:r>
        <w:instrText xml:space="preserve"> SEQ Table \* ARABIC </w:instrText>
      </w:r>
      <w:r>
        <w:fldChar w:fldCharType="separate"/>
      </w:r>
      <w:r>
        <w:t>1</w:t>
      </w:r>
      <w:r>
        <w:fldChar w:fldCharType="end"/>
      </w:r>
      <w:r>
        <w:t>: Timing error in clock synchronisation</w:t>
      </w:r>
    </w:p>
    <w:tbl>
      <w:tblPr>
        <w:tblStyle w:val="26"/>
        <w:tblW w:w="96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16"/>
        <w:gridCol w:w="4861"/>
        <w:gridCol w:w="656"/>
        <w:gridCol w:w="656"/>
        <w:gridCol w:w="689"/>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4" w:hRule="atLeast"/>
          <w:jc w:val="center"/>
        </w:trPr>
        <w:tc>
          <w:tcPr>
            <w:tcW w:w="2116" w:type="dxa"/>
            <w:vMerge w:val="restart"/>
          </w:tcPr>
          <w:p>
            <w:pPr>
              <w:jc w:val="center"/>
              <w:rPr>
                <w:b/>
                <w:sz w:val="21"/>
              </w:rPr>
            </w:pPr>
            <w:r>
              <w:rPr>
                <w:b/>
                <w:sz w:val="21"/>
              </w:rPr>
              <w:t>Factors</w:t>
            </w:r>
          </w:p>
        </w:tc>
        <w:tc>
          <w:tcPr>
            <w:tcW w:w="4861" w:type="dxa"/>
            <w:vMerge w:val="restart"/>
            <w:shd w:val="clear" w:color="auto" w:fill="auto"/>
            <w:tcMar>
              <w:top w:w="15" w:type="dxa"/>
              <w:left w:w="108" w:type="dxa"/>
              <w:bottom w:w="0" w:type="dxa"/>
              <w:right w:w="108" w:type="dxa"/>
            </w:tcMar>
          </w:tcPr>
          <w:p>
            <w:pPr>
              <w:jc w:val="center"/>
              <w:rPr>
                <w:b/>
                <w:sz w:val="21"/>
              </w:rPr>
            </w:pPr>
            <w:r>
              <w:rPr>
                <w:b/>
                <w:sz w:val="21"/>
              </w:rPr>
              <w:t>Timing error type</w:t>
            </w:r>
          </w:p>
        </w:tc>
        <w:tc>
          <w:tcPr>
            <w:tcW w:w="2657" w:type="dxa"/>
            <w:gridSpan w:val="4"/>
            <w:shd w:val="clear" w:color="auto" w:fill="auto"/>
            <w:tcMar>
              <w:top w:w="15" w:type="dxa"/>
              <w:left w:w="108" w:type="dxa"/>
              <w:bottom w:w="0" w:type="dxa"/>
              <w:right w:w="108" w:type="dxa"/>
            </w:tcMar>
          </w:tcPr>
          <w:p>
            <w:pPr>
              <w:jc w:val="center"/>
              <w:rPr>
                <w:b/>
                <w:sz w:val="21"/>
              </w:rPr>
            </w:pPr>
            <w:r>
              <w:rPr>
                <w:b/>
                <w:sz w:val="21"/>
              </w:rPr>
              <w:t>Requirement for different SCS (kHz)</w:t>
            </w:r>
          </w:p>
          <w:p>
            <w:pPr>
              <w:jc w:val="center"/>
              <w:rPr>
                <w:b/>
                <w:sz w:val="21"/>
              </w:rPr>
            </w:pPr>
            <w:r>
              <w:rPr>
                <w:rFonts w:hint="eastAsia"/>
                <w:b/>
                <w:sz w:val="21"/>
              </w:rPr>
              <w:t>(</w:t>
            </w:r>
            <w:r>
              <w:rPr>
                <w:b/>
                <w:sz w:val="21"/>
              </w:rPr>
              <w:t>unit: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vMerge w:val="continue"/>
          </w:tcPr>
          <w:p>
            <w:pPr>
              <w:rPr>
                <w:sz w:val="21"/>
              </w:rPr>
            </w:pPr>
          </w:p>
        </w:tc>
        <w:tc>
          <w:tcPr>
            <w:tcW w:w="4861" w:type="dxa"/>
            <w:vMerge w:val="continue"/>
            <w:vAlign w:val="center"/>
          </w:tcPr>
          <w:p>
            <w:pPr>
              <w:rPr>
                <w:sz w:val="21"/>
              </w:rPr>
            </w:pPr>
          </w:p>
        </w:tc>
        <w:tc>
          <w:tcPr>
            <w:tcW w:w="656" w:type="dxa"/>
            <w:shd w:val="clear" w:color="auto" w:fill="auto"/>
            <w:tcMar>
              <w:top w:w="15" w:type="dxa"/>
              <w:left w:w="108" w:type="dxa"/>
              <w:bottom w:w="0" w:type="dxa"/>
              <w:right w:w="108" w:type="dxa"/>
            </w:tcMar>
          </w:tcPr>
          <w:p>
            <w:pPr>
              <w:rPr>
                <w:sz w:val="21"/>
              </w:rPr>
            </w:pPr>
            <w:r>
              <w:rPr>
                <w:sz w:val="21"/>
              </w:rPr>
              <w:t>15</w:t>
            </w:r>
          </w:p>
        </w:tc>
        <w:tc>
          <w:tcPr>
            <w:tcW w:w="656" w:type="dxa"/>
            <w:shd w:val="clear" w:color="auto" w:fill="auto"/>
            <w:tcMar>
              <w:top w:w="15" w:type="dxa"/>
              <w:left w:w="108" w:type="dxa"/>
              <w:bottom w:w="0" w:type="dxa"/>
              <w:right w:w="108" w:type="dxa"/>
            </w:tcMar>
          </w:tcPr>
          <w:p>
            <w:pPr>
              <w:rPr>
                <w:sz w:val="21"/>
              </w:rPr>
            </w:pPr>
            <w:r>
              <w:rPr>
                <w:sz w:val="21"/>
              </w:rPr>
              <w:t>30</w:t>
            </w:r>
          </w:p>
        </w:tc>
        <w:tc>
          <w:tcPr>
            <w:tcW w:w="689" w:type="dxa"/>
            <w:shd w:val="clear" w:color="auto" w:fill="auto"/>
            <w:tcMar>
              <w:top w:w="15" w:type="dxa"/>
              <w:left w:w="108" w:type="dxa"/>
              <w:bottom w:w="0" w:type="dxa"/>
              <w:right w:w="108" w:type="dxa"/>
            </w:tcMar>
          </w:tcPr>
          <w:p>
            <w:pPr>
              <w:rPr>
                <w:sz w:val="21"/>
              </w:rPr>
            </w:pPr>
            <w:r>
              <w:rPr>
                <w:sz w:val="21"/>
              </w:rPr>
              <w:t>60</w:t>
            </w:r>
          </w:p>
        </w:tc>
        <w:tc>
          <w:tcPr>
            <w:tcW w:w="656" w:type="dxa"/>
            <w:shd w:val="clear" w:color="auto" w:fill="auto"/>
            <w:tcMar>
              <w:top w:w="15" w:type="dxa"/>
              <w:left w:w="108" w:type="dxa"/>
              <w:bottom w:w="0" w:type="dxa"/>
              <w:right w:w="108" w:type="dxa"/>
            </w:tcMar>
          </w:tcPr>
          <w:p>
            <w:pPr>
              <w:rPr>
                <w:sz w:val="21"/>
              </w:rPr>
            </w:pPr>
            <w:r>
              <w:rPr>
                <w:sz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eastAsia="等线"/>
                <w:sz w:val="21"/>
              </w:rPr>
              <w:t>1</w:t>
            </w:r>
          </w:p>
        </w:tc>
        <w:tc>
          <w:tcPr>
            <w:tcW w:w="7518" w:type="dxa"/>
            <w:gridSpan w:val="5"/>
            <w:vAlign w:val="center"/>
          </w:tcPr>
          <w:p>
            <w:pPr>
              <w:jc w:val="left"/>
              <w:rPr>
                <w:rFonts w:eastAsia="等线"/>
                <w:sz w:val="21"/>
              </w:rPr>
            </w:pPr>
            <w:r>
              <w:rPr>
                <w:sz w:val="21"/>
              </w:rPr>
              <w:t>Inaccuracy caused by downlink/uplink frame timing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1.1</w:t>
            </w:r>
          </w:p>
        </w:tc>
        <w:tc>
          <w:tcPr>
            <w:tcW w:w="4861" w:type="dxa"/>
            <w:vAlign w:val="center"/>
          </w:tcPr>
          <w:p>
            <w:pPr>
              <w:rPr>
                <w:rFonts w:eastAsia="等线"/>
                <w:sz w:val="21"/>
              </w:rPr>
            </w:pPr>
            <w:r>
              <w:rPr>
                <w:rFonts w:eastAsia="等线"/>
                <w:sz w:val="21"/>
              </w:rPr>
              <w:t xml:space="preserve">Time alignment error of gNB transmitter </w:t>
            </w:r>
            <w:r>
              <w:t>(TE</w:t>
            </w:r>
            <w:r>
              <w:rPr>
                <w:vertAlign w:val="subscript"/>
              </w:rPr>
              <w:t>TAE</w:t>
            </w:r>
            <w:r>
              <w:t>)</w:t>
            </w:r>
          </w:p>
        </w:tc>
        <w:tc>
          <w:tcPr>
            <w:tcW w:w="656" w:type="dxa"/>
            <w:shd w:val="clear" w:color="auto" w:fill="auto"/>
            <w:tcMar>
              <w:top w:w="15" w:type="dxa"/>
              <w:left w:w="108" w:type="dxa"/>
              <w:bottom w:w="0" w:type="dxa"/>
              <w:right w:w="108" w:type="dxa"/>
            </w:tcMar>
          </w:tcPr>
          <w:p>
            <w:pPr>
              <w:rPr>
                <w:sz w:val="21"/>
              </w:rPr>
            </w:pPr>
            <w:r>
              <w:rPr>
                <w:color w:val="000000" w:themeColor="text1"/>
                <w:kern w:val="24"/>
                <w:sz w:val="21"/>
                <w14:textFill>
                  <w14:solidFill>
                    <w14:schemeClr w14:val="tx1"/>
                  </w14:solidFill>
                </w14:textFill>
              </w:rPr>
              <w:t>65</w:t>
            </w:r>
          </w:p>
        </w:tc>
        <w:tc>
          <w:tcPr>
            <w:tcW w:w="656" w:type="dxa"/>
            <w:shd w:val="clear" w:color="auto" w:fill="auto"/>
            <w:tcMar>
              <w:top w:w="15" w:type="dxa"/>
              <w:left w:w="108" w:type="dxa"/>
              <w:bottom w:w="0" w:type="dxa"/>
              <w:right w:w="108" w:type="dxa"/>
            </w:tcMar>
          </w:tcPr>
          <w:p>
            <w:pPr>
              <w:rPr>
                <w:sz w:val="21"/>
              </w:rPr>
            </w:pPr>
            <w:r>
              <w:rPr>
                <w:color w:val="000000" w:themeColor="text1"/>
                <w:kern w:val="24"/>
                <w:sz w:val="21"/>
                <w14:textFill>
                  <w14:solidFill>
                    <w14:schemeClr w14:val="tx1"/>
                  </w14:solidFill>
                </w14:textFill>
              </w:rPr>
              <w:t>65</w:t>
            </w:r>
          </w:p>
        </w:tc>
        <w:tc>
          <w:tcPr>
            <w:tcW w:w="689" w:type="dxa"/>
            <w:shd w:val="clear" w:color="auto" w:fill="auto"/>
            <w:tcMar>
              <w:top w:w="15" w:type="dxa"/>
              <w:left w:w="108" w:type="dxa"/>
              <w:bottom w:w="0" w:type="dxa"/>
              <w:right w:w="108" w:type="dxa"/>
            </w:tcMar>
          </w:tcPr>
          <w:p>
            <w:pPr>
              <w:rPr>
                <w:sz w:val="21"/>
              </w:rPr>
            </w:pPr>
            <w:r>
              <w:rPr>
                <w:color w:val="000000" w:themeColor="text1"/>
                <w:kern w:val="24"/>
                <w:sz w:val="21"/>
                <w14:textFill>
                  <w14:solidFill>
                    <w14:schemeClr w14:val="tx1"/>
                  </w14:solidFill>
                </w14:textFill>
              </w:rPr>
              <w:t>65</w:t>
            </w:r>
          </w:p>
        </w:tc>
        <w:tc>
          <w:tcPr>
            <w:tcW w:w="656" w:type="dxa"/>
            <w:shd w:val="clear" w:color="auto" w:fill="auto"/>
            <w:tcMar>
              <w:top w:w="15" w:type="dxa"/>
              <w:left w:w="108" w:type="dxa"/>
              <w:bottom w:w="0" w:type="dxa"/>
              <w:right w:w="108" w:type="dxa"/>
            </w:tcMar>
          </w:tcPr>
          <w:p>
            <w:pPr>
              <w:rPr>
                <w:sz w:val="21"/>
              </w:rPr>
            </w:pPr>
            <w:r>
              <w:rPr>
                <w:color w:val="000000" w:themeColor="text1"/>
                <w:kern w:val="24"/>
                <w:sz w:val="21"/>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1.2</w:t>
            </w:r>
          </w:p>
        </w:tc>
        <w:tc>
          <w:tcPr>
            <w:tcW w:w="4861" w:type="dxa"/>
            <w:vAlign w:val="center"/>
          </w:tcPr>
          <w:p>
            <w:pPr>
              <w:rPr>
                <w:rFonts w:eastAsia="等线"/>
                <w:sz w:val="21"/>
              </w:rPr>
            </w:pPr>
            <w:r>
              <w:rPr>
                <w:rFonts w:eastAsia="等线"/>
                <w:sz w:val="21"/>
              </w:rPr>
              <w:t xml:space="preserve">Inaccuracy caused by UE detection </w:t>
            </w:r>
            <w:r>
              <w:rPr>
                <w:szCs w:val="22"/>
              </w:rPr>
              <w:t>(TE</w:t>
            </w:r>
            <w:r>
              <w:rPr>
                <w:szCs w:val="22"/>
                <w:vertAlign w:val="subscript"/>
              </w:rPr>
              <w:t>UE-DL-RX</w:t>
            </w:r>
            <w:r>
              <w:rPr>
                <w:szCs w:val="22"/>
              </w:rPr>
              <w:t>)</w:t>
            </w:r>
          </w:p>
        </w:tc>
        <w:tc>
          <w:tcPr>
            <w:tcW w:w="656" w:type="dxa"/>
            <w:shd w:val="clear" w:color="auto" w:fill="auto"/>
            <w:tcMar>
              <w:top w:w="15" w:type="dxa"/>
              <w:left w:w="108" w:type="dxa"/>
              <w:bottom w:w="0" w:type="dxa"/>
              <w:right w:w="108" w:type="dxa"/>
            </w:tcMar>
          </w:tcPr>
          <w:p>
            <w:pPr>
              <w:rPr>
                <w:sz w:val="21"/>
              </w:rPr>
            </w:pPr>
            <w:r>
              <w:rPr>
                <w:rFonts w:hint="eastAsia"/>
                <w:color w:val="000000" w:themeColor="text1"/>
                <w:kern w:val="24"/>
                <w:sz w:val="21"/>
                <w:lang w:eastAsia="ja-JP"/>
                <w14:textFill>
                  <w14:solidFill>
                    <w14:schemeClr w14:val="tx1"/>
                  </w14:solidFill>
                </w14:textFill>
              </w:rPr>
              <w:t>26</w:t>
            </w:r>
            <w:r>
              <w:rPr>
                <w:color w:val="000000" w:themeColor="text1"/>
                <w:kern w:val="24"/>
                <w:sz w:val="21"/>
                <w:lang w:eastAsia="ja-JP"/>
                <w14:textFill>
                  <w14:solidFill>
                    <w14:schemeClr w14:val="tx1"/>
                  </w14:solidFill>
                </w14:textFill>
              </w:rPr>
              <w:t>0</w:t>
            </w:r>
          </w:p>
        </w:tc>
        <w:tc>
          <w:tcPr>
            <w:tcW w:w="656" w:type="dxa"/>
            <w:shd w:val="clear" w:color="auto" w:fill="auto"/>
            <w:tcMar>
              <w:top w:w="15" w:type="dxa"/>
              <w:left w:w="108" w:type="dxa"/>
              <w:bottom w:w="0" w:type="dxa"/>
              <w:right w:w="108" w:type="dxa"/>
            </w:tcMar>
          </w:tcPr>
          <w:p>
            <w:pPr>
              <w:rPr>
                <w:sz w:val="21"/>
              </w:rPr>
            </w:pPr>
            <w:r>
              <w:rPr>
                <w:rFonts w:hint="eastAsia"/>
                <w:color w:val="000000" w:themeColor="text1"/>
                <w:kern w:val="24"/>
                <w:sz w:val="21"/>
                <w:lang w:eastAsia="ja-JP"/>
                <w14:textFill>
                  <w14:solidFill>
                    <w14:schemeClr w14:val="tx1"/>
                  </w14:solidFill>
                </w14:textFill>
              </w:rPr>
              <w:t>260</w:t>
            </w:r>
          </w:p>
        </w:tc>
        <w:tc>
          <w:tcPr>
            <w:tcW w:w="689" w:type="dxa"/>
            <w:shd w:val="clear" w:color="auto" w:fill="auto"/>
            <w:tcMar>
              <w:top w:w="15" w:type="dxa"/>
              <w:left w:w="108" w:type="dxa"/>
              <w:bottom w:w="0" w:type="dxa"/>
              <w:right w:w="108" w:type="dxa"/>
            </w:tcMar>
          </w:tcPr>
          <w:p>
            <w:pPr>
              <w:rPr>
                <w:sz w:val="21"/>
              </w:rPr>
            </w:pPr>
            <w:r>
              <w:rPr>
                <w:rFonts w:hint="eastAsia"/>
                <w:color w:val="000000" w:themeColor="text1"/>
                <w:kern w:val="24"/>
                <w:sz w:val="21"/>
                <w:lang w:eastAsia="ja-JP"/>
                <w14:textFill>
                  <w14:solidFill>
                    <w14:schemeClr w14:val="tx1"/>
                  </w14:solidFill>
                </w14:textFill>
              </w:rPr>
              <w:t>163</w:t>
            </w:r>
          </w:p>
        </w:tc>
        <w:tc>
          <w:tcPr>
            <w:tcW w:w="656" w:type="dxa"/>
            <w:shd w:val="clear" w:color="auto" w:fill="auto"/>
            <w:tcMar>
              <w:top w:w="15" w:type="dxa"/>
              <w:left w:w="108" w:type="dxa"/>
              <w:bottom w:w="0" w:type="dxa"/>
              <w:right w:w="108" w:type="dxa"/>
            </w:tcMar>
          </w:tcPr>
          <w:p>
            <w:pPr>
              <w:rPr>
                <w:sz w:val="21"/>
              </w:rPr>
            </w:pPr>
            <w:r>
              <w:rPr>
                <w:rFonts w:hint="eastAsia"/>
                <w:color w:val="000000" w:themeColor="text1"/>
                <w:kern w:val="24"/>
                <w:sz w:val="21"/>
                <w:lang w:eastAsia="ja-JP"/>
                <w14:textFill>
                  <w14:solidFill>
                    <w14:schemeClr w14:val="tx1"/>
                  </w14:solidFill>
                </w14:textFill>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w:t>
            </w:r>
          </w:p>
        </w:tc>
        <w:tc>
          <w:tcPr>
            <w:tcW w:w="4861" w:type="dxa"/>
            <w:vAlign w:val="center"/>
          </w:tcPr>
          <w:p>
            <w:pPr>
              <w:rPr>
                <w:rFonts w:eastAsia="等线"/>
                <w:sz w:val="21"/>
              </w:rPr>
            </w:pPr>
            <w:r>
              <w:rPr>
                <w:rFonts w:eastAsia="等线"/>
                <w:sz w:val="21"/>
              </w:rPr>
              <w:t>I</w:t>
            </w:r>
            <w:r>
              <w:rPr>
                <w:rFonts w:hint="eastAsia" w:eastAsia="等线"/>
                <w:sz w:val="21"/>
              </w:rPr>
              <w:t>naccuracy caused by propagation delay</w:t>
            </w:r>
            <w:r>
              <w:rPr>
                <w:rFonts w:eastAsia="等线"/>
                <w:sz w:val="21"/>
              </w:rPr>
              <w:t xml:space="preserve"> when propagation delay is decided from TA. (1.3.1+1.3.2+1.3.3)/2</w:t>
            </w:r>
          </w:p>
        </w:tc>
        <w:tc>
          <w:tcPr>
            <w:tcW w:w="656" w:type="dxa"/>
            <w:shd w:val="clear" w:color="auto" w:fill="auto"/>
            <w:tcMar>
              <w:top w:w="15" w:type="dxa"/>
              <w:left w:w="108" w:type="dxa"/>
              <w:bottom w:w="0" w:type="dxa"/>
              <w:right w:w="108" w:type="dxa"/>
            </w:tcMar>
          </w:tcPr>
          <w:p>
            <w:pPr>
              <w:rPr>
                <w:rFonts w:eastAsiaTheme="minorEastAsia"/>
                <w:sz w:val="21"/>
                <w:lang w:eastAsia="ja-JP"/>
              </w:rPr>
            </w:pPr>
            <w:r>
              <w:rPr>
                <w:rFonts w:eastAsiaTheme="minorEastAsia"/>
                <w:sz w:val="21"/>
                <w:lang w:eastAsia="ja-JP"/>
              </w:rPr>
              <w:t>375</w:t>
            </w:r>
          </w:p>
        </w:tc>
        <w:tc>
          <w:tcPr>
            <w:tcW w:w="656" w:type="dxa"/>
            <w:shd w:val="clear" w:color="auto" w:fill="auto"/>
            <w:tcMar>
              <w:top w:w="15" w:type="dxa"/>
              <w:left w:w="108" w:type="dxa"/>
              <w:bottom w:w="0" w:type="dxa"/>
              <w:right w:w="108" w:type="dxa"/>
            </w:tcMar>
          </w:tcPr>
          <w:p>
            <w:pPr>
              <w:rPr>
                <w:rFonts w:eastAsia="等线"/>
                <w:sz w:val="21"/>
              </w:rPr>
            </w:pPr>
            <w:r>
              <w:rPr>
                <w:rFonts w:eastAsia="等线"/>
                <w:sz w:val="21"/>
              </w:rPr>
              <w:t>245</w:t>
            </w:r>
          </w:p>
        </w:tc>
        <w:tc>
          <w:tcPr>
            <w:tcW w:w="689" w:type="dxa"/>
            <w:shd w:val="clear" w:color="auto" w:fill="auto"/>
            <w:tcMar>
              <w:top w:w="15" w:type="dxa"/>
              <w:left w:w="108" w:type="dxa"/>
              <w:bottom w:w="0" w:type="dxa"/>
              <w:right w:w="108" w:type="dxa"/>
            </w:tcMar>
          </w:tcPr>
          <w:p>
            <w:pPr>
              <w:rPr>
                <w:rFonts w:eastAsia="等线"/>
                <w:sz w:val="21"/>
              </w:rPr>
            </w:pPr>
            <w:r>
              <w:rPr>
                <w:rFonts w:eastAsia="等线"/>
                <w:sz w:val="21"/>
              </w:rPr>
              <w:t>192.5</w:t>
            </w:r>
          </w:p>
        </w:tc>
        <w:tc>
          <w:tcPr>
            <w:tcW w:w="656" w:type="dxa"/>
            <w:shd w:val="clear" w:color="auto" w:fill="auto"/>
            <w:tcMar>
              <w:top w:w="15" w:type="dxa"/>
              <w:left w:w="108" w:type="dxa"/>
              <w:bottom w:w="0" w:type="dxa"/>
              <w:right w:w="108" w:type="dxa"/>
            </w:tcMar>
          </w:tcPr>
          <w:p>
            <w:pPr>
              <w:rPr>
                <w:rFonts w:eastAsia="等线"/>
                <w:sz w:val="21"/>
              </w:rPr>
            </w:pPr>
            <w:r>
              <w:rPr>
                <w:rFonts w:eastAsia="等线"/>
                <w:sz w:val="21"/>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1.3.1</w:t>
            </w:r>
          </w:p>
        </w:tc>
        <w:tc>
          <w:tcPr>
            <w:tcW w:w="4861" w:type="dxa"/>
            <w:vAlign w:val="center"/>
          </w:tcPr>
          <w:p>
            <w:pPr>
              <w:rPr>
                <w:rFonts w:eastAsia="等线"/>
                <w:sz w:val="21"/>
              </w:rPr>
            </w:pPr>
            <w:r>
              <w:rPr>
                <w:rFonts w:hint="eastAsia" w:eastAsia="等线"/>
                <w:sz w:val="21"/>
              </w:rPr>
              <w:t>I</w:t>
            </w:r>
            <w:r>
              <w:rPr>
                <w:rFonts w:eastAsia="等线"/>
                <w:sz w:val="21"/>
              </w:rPr>
              <w:t xml:space="preserve">naccuracy of UE transmitting </w:t>
            </w:r>
            <w:r>
              <w:t>(TE</w:t>
            </w:r>
            <w:r>
              <w:rPr>
                <w:vertAlign w:val="subscript"/>
              </w:rPr>
              <w:t>UE-DL-to-TX</w:t>
            </w:r>
            <w:r>
              <w:t>)</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390</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260</w:t>
            </w:r>
          </w:p>
        </w:tc>
        <w:tc>
          <w:tcPr>
            <w:tcW w:w="689"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228</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1.3.2</w:t>
            </w:r>
          </w:p>
        </w:tc>
        <w:tc>
          <w:tcPr>
            <w:tcW w:w="4861" w:type="dxa"/>
            <w:vAlign w:val="center"/>
          </w:tcPr>
          <w:p>
            <w:pPr>
              <w:rPr>
                <w:rFonts w:eastAsia="等线"/>
                <w:sz w:val="21"/>
              </w:rPr>
            </w:pPr>
            <w:r>
              <w:rPr>
                <w:rFonts w:hint="eastAsia" w:eastAsia="等线"/>
                <w:sz w:val="21"/>
              </w:rPr>
              <w:t>Inaccuracy of gNB detection</w:t>
            </w:r>
            <w:r>
              <w:rPr>
                <w:rFonts w:eastAsia="等线"/>
                <w:sz w:val="21"/>
              </w:rPr>
              <w:t xml:space="preserve"> </w:t>
            </w:r>
            <w:r>
              <w:t>(TE</w:t>
            </w:r>
            <w:r>
              <w:rPr>
                <w:vertAlign w:val="subscript"/>
              </w:rPr>
              <w:t>UL-RX</w:t>
            </w:r>
            <w:r>
              <w:t>)</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100</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100</w:t>
            </w:r>
          </w:p>
        </w:tc>
        <w:tc>
          <w:tcPr>
            <w:tcW w:w="689"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92</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1.3.3</w:t>
            </w:r>
          </w:p>
        </w:tc>
        <w:tc>
          <w:tcPr>
            <w:tcW w:w="4861" w:type="dxa"/>
            <w:vAlign w:val="center"/>
          </w:tcPr>
          <w:p>
            <w:pPr>
              <w:rPr>
                <w:rFonts w:eastAsia="等线"/>
                <w:sz w:val="21"/>
              </w:rPr>
            </w:pPr>
            <w:r>
              <w:rPr>
                <w:rFonts w:hint="eastAsia" w:eastAsia="等线"/>
                <w:sz w:val="21"/>
              </w:rPr>
              <w:t>Inaccuracy caused by TA indication</w:t>
            </w:r>
            <w:r>
              <w:rPr>
                <w:rFonts w:eastAsia="等线"/>
                <w:sz w:val="21"/>
              </w:rPr>
              <w:t xml:space="preserve"> </w:t>
            </w:r>
            <w:r>
              <w:t>(TE</w:t>
            </w:r>
            <w:r>
              <w:rPr>
                <w:vertAlign w:val="subscript"/>
              </w:rPr>
              <w:t>TA-G</w:t>
            </w:r>
            <w:r>
              <w:t>)</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rFonts w:eastAsia="等线"/>
                <w:sz w:val="21"/>
                <w:lang w:val="en-US"/>
              </w:rPr>
              <w:t>260</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rFonts w:eastAsia="等线"/>
                <w:sz w:val="21"/>
                <w:lang w:val="en-US"/>
              </w:rPr>
              <w:t>130</w:t>
            </w:r>
          </w:p>
        </w:tc>
        <w:tc>
          <w:tcPr>
            <w:tcW w:w="689"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rFonts w:eastAsia="等线"/>
                <w:sz w:val="21"/>
                <w:lang w:val="en-US"/>
              </w:rPr>
              <w:t>65</w:t>
            </w:r>
          </w:p>
        </w:tc>
        <w:tc>
          <w:tcPr>
            <w:tcW w:w="656" w:type="dxa"/>
            <w:shd w:val="clear" w:color="auto" w:fill="auto"/>
            <w:tcMar>
              <w:top w:w="15" w:type="dxa"/>
              <w:left w:w="108" w:type="dxa"/>
              <w:bottom w:w="0" w:type="dxa"/>
              <w:right w:w="108" w:type="dxa"/>
            </w:tcMar>
          </w:tcPr>
          <w:p>
            <w:pPr>
              <w:rPr>
                <w:color w:val="000000" w:themeColor="text1"/>
                <w:kern w:val="24"/>
                <w:sz w:val="21"/>
                <w14:textFill>
                  <w14:solidFill>
                    <w14:schemeClr w14:val="tx1"/>
                  </w14:solidFill>
                </w14:textFill>
              </w:rPr>
            </w:pPr>
            <w:r>
              <w:rPr>
                <w:rFonts w:eastAsia="等线"/>
                <w:sz w:val="21"/>
                <w:lang w:val="en-US"/>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1.4</w:t>
            </w:r>
          </w:p>
        </w:tc>
        <w:tc>
          <w:tcPr>
            <w:tcW w:w="4861" w:type="dxa"/>
            <w:vAlign w:val="center"/>
          </w:tcPr>
          <w:p>
            <w:pPr>
              <w:rPr>
                <w:rFonts w:eastAsia="等线"/>
                <w:sz w:val="21"/>
              </w:rPr>
            </w:pPr>
            <w:r>
              <w:rPr>
                <w:rFonts w:eastAsia="等线"/>
                <w:sz w:val="21"/>
              </w:rPr>
              <w:t>I</w:t>
            </w:r>
            <w:r>
              <w:rPr>
                <w:rFonts w:hint="eastAsia" w:eastAsia="等线"/>
                <w:sz w:val="21"/>
              </w:rPr>
              <w:t>naccuracy caused by propagation delay</w:t>
            </w:r>
            <w:r>
              <w:rPr>
                <w:rFonts w:eastAsia="等线"/>
                <w:sz w:val="21"/>
              </w:rPr>
              <w:t xml:space="preserve"> when c</w:t>
            </w:r>
            <w:r>
              <w:rPr>
                <w:sz w:val="21"/>
              </w:rPr>
              <w:t>onsidering 20Km</w:t>
            </w:r>
            <w:r>
              <w:rPr>
                <w:sz w:val="21"/>
                <w:vertAlign w:val="superscript"/>
              </w:rPr>
              <w:t>2</w:t>
            </w:r>
            <w:r>
              <w:rPr>
                <w:sz w:val="21"/>
              </w:rPr>
              <w:t xml:space="preserve"> service area </w:t>
            </w:r>
            <w:r>
              <w:rPr>
                <w:szCs w:val="22"/>
              </w:rPr>
              <w:t>(</w:t>
            </w:r>
            <w:r>
              <w:rPr>
                <w:iCs/>
                <w:szCs w:val="22"/>
              </w:rPr>
              <w:t>TE</w:t>
            </w:r>
            <w:r>
              <w:rPr>
                <w:iCs/>
                <w:szCs w:val="22"/>
                <w:vertAlign w:val="subscript"/>
              </w:rPr>
              <w:t>PD</w:t>
            </w:r>
            <w:r>
              <w:rPr>
                <w:iCs/>
                <w:szCs w:val="22"/>
              </w:rPr>
              <w:t>)</w:t>
            </w:r>
          </w:p>
        </w:tc>
        <w:tc>
          <w:tcPr>
            <w:tcW w:w="656" w:type="dxa"/>
            <w:shd w:val="clear" w:color="auto" w:fill="auto"/>
            <w:tcMar>
              <w:top w:w="15" w:type="dxa"/>
              <w:left w:w="108" w:type="dxa"/>
              <w:bottom w:w="0" w:type="dxa"/>
              <w:right w:w="108" w:type="dxa"/>
            </w:tcMar>
          </w:tcPr>
          <w:p>
            <w:pPr>
              <w:rPr>
                <w:rFonts w:eastAsia="等线"/>
                <w:sz w:val="21"/>
              </w:rPr>
            </w:pPr>
            <w:r>
              <w:rPr>
                <w:rFonts w:eastAsia="等线"/>
                <w:sz w:val="21"/>
              </w:rPr>
              <w:t>8410</w:t>
            </w:r>
          </w:p>
        </w:tc>
        <w:tc>
          <w:tcPr>
            <w:tcW w:w="656" w:type="dxa"/>
            <w:shd w:val="clear" w:color="auto" w:fill="auto"/>
            <w:tcMar>
              <w:top w:w="15" w:type="dxa"/>
              <w:left w:w="108" w:type="dxa"/>
              <w:bottom w:w="0" w:type="dxa"/>
              <w:right w:w="108" w:type="dxa"/>
            </w:tcMar>
          </w:tcPr>
          <w:p>
            <w:pPr>
              <w:rPr>
                <w:rFonts w:eastAsia="等线"/>
                <w:sz w:val="21"/>
                <w:lang w:val="en-US"/>
              </w:rPr>
            </w:pPr>
            <w:r>
              <w:rPr>
                <w:rFonts w:eastAsia="等线"/>
                <w:sz w:val="21"/>
              </w:rPr>
              <w:t>8410</w:t>
            </w:r>
          </w:p>
        </w:tc>
        <w:tc>
          <w:tcPr>
            <w:tcW w:w="689" w:type="dxa"/>
            <w:shd w:val="clear" w:color="auto" w:fill="auto"/>
            <w:tcMar>
              <w:top w:w="15" w:type="dxa"/>
              <w:left w:w="108" w:type="dxa"/>
              <w:bottom w:w="0" w:type="dxa"/>
              <w:right w:w="108" w:type="dxa"/>
            </w:tcMar>
          </w:tcPr>
          <w:p>
            <w:pPr>
              <w:rPr>
                <w:rFonts w:eastAsia="等线"/>
                <w:sz w:val="21"/>
                <w:lang w:val="en-US"/>
              </w:rPr>
            </w:pPr>
            <w:r>
              <w:rPr>
                <w:rFonts w:eastAsia="等线"/>
                <w:sz w:val="21"/>
              </w:rPr>
              <w:t>8410</w:t>
            </w:r>
          </w:p>
        </w:tc>
        <w:tc>
          <w:tcPr>
            <w:tcW w:w="656" w:type="dxa"/>
            <w:shd w:val="clear" w:color="auto" w:fill="auto"/>
            <w:tcMar>
              <w:top w:w="15" w:type="dxa"/>
              <w:left w:w="108" w:type="dxa"/>
              <w:bottom w:w="0" w:type="dxa"/>
              <w:right w:w="108" w:type="dxa"/>
            </w:tcMar>
          </w:tcPr>
          <w:p>
            <w:pPr>
              <w:rPr>
                <w:rFonts w:eastAsia="等线"/>
                <w:sz w:val="21"/>
                <w:lang w:val="en-US"/>
              </w:rPr>
            </w:pPr>
            <w:r>
              <w:rPr>
                <w:rFonts w:eastAsia="等线"/>
                <w:sz w:val="21"/>
              </w:rPr>
              <w:t>8410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2</w:t>
            </w:r>
          </w:p>
        </w:tc>
        <w:tc>
          <w:tcPr>
            <w:tcW w:w="4861" w:type="dxa"/>
            <w:vAlign w:val="center"/>
          </w:tcPr>
          <w:p>
            <w:pPr>
              <w:rPr>
                <w:rFonts w:eastAsia="等线"/>
                <w:sz w:val="21"/>
              </w:rPr>
            </w:pPr>
            <w:r>
              <w:rPr>
                <w:sz w:val="21"/>
              </w:rPr>
              <w:t>Inaccuracy caused by</w:t>
            </w:r>
            <w:r>
              <w:rPr>
                <w:rFonts w:eastAsia="等线"/>
                <w:sz w:val="21"/>
              </w:rPr>
              <w:t xml:space="preserve"> time reference information delivery from gNB to UE (TE</w:t>
            </w:r>
            <w:r>
              <w:rPr>
                <w:rFonts w:eastAsia="等线"/>
                <w:sz w:val="21"/>
                <w:vertAlign w:val="subscript"/>
              </w:rPr>
              <w:t>RT</w:t>
            </w:r>
            <w:r>
              <w:rPr>
                <w:rFonts w:eastAsia="等线"/>
                <w:sz w:val="21"/>
              </w:rPr>
              <w:t>)</w:t>
            </w:r>
          </w:p>
        </w:tc>
        <w:tc>
          <w:tcPr>
            <w:tcW w:w="656" w:type="dxa"/>
            <w:shd w:val="clear" w:color="auto" w:fill="auto"/>
            <w:tcMar>
              <w:top w:w="15" w:type="dxa"/>
              <w:left w:w="108" w:type="dxa"/>
              <w:bottom w:w="0" w:type="dxa"/>
              <w:right w:w="108" w:type="dxa"/>
            </w:tcMar>
          </w:tcPr>
          <w:p>
            <w:pPr>
              <w:rPr>
                <w:sz w:val="21"/>
              </w:rPr>
            </w:pPr>
            <w:r>
              <w:rPr>
                <w:sz w:val="21"/>
              </w:rPr>
              <w:t>5</w:t>
            </w:r>
          </w:p>
        </w:tc>
        <w:tc>
          <w:tcPr>
            <w:tcW w:w="656" w:type="dxa"/>
            <w:shd w:val="clear" w:color="auto" w:fill="auto"/>
            <w:tcMar>
              <w:top w:w="15" w:type="dxa"/>
              <w:left w:w="108" w:type="dxa"/>
              <w:bottom w:w="0" w:type="dxa"/>
              <w:right w:w="108" w:type="dxa"/>
            </w:tcMar>
          </w:tcPr>
          <w:p>
            <w:pPr>
              <w:rPr>
                <w:sz w:val="21"/>
              </w:rPr>
            </w:pPr>
            <w:r>
              <w:rPr>
                <w:sz w:val="21"/>
              </w:rPr>
              <w:t>5</w:t>
            </w:r>
          </w:p>
        </w:tc>
        <w:tc>
          <w:tcPr>
            <w:tcW w:w="689" w:type="dxa"/>
            <w:shd w:val="clear" w:color="auto" w:fill="auto"/>
            <w:tcMar>
              <w:top w:w="15" w:type="dxa"/>
              <w:left w:w="108" w:type="dxa"/>
              <w:bottom w:w="0" w:type="dxa"/>
              <w:right w:w="108" w:type="dxa"/>
            </w:tcMar>
          </w:tcPr>
          <w:p>
            <w:pPr>
              <w:rPr>
                <w:sz w:val="21"/>
              </w:rPr>
            </w:pPr>
            <w:r>
              <w:rPr>
                <w:sz w:val="21"/>
              </w:rPr>
              <w:t>5</w:t>
            </w:r>
          </w:p>
        </w:tc>
        <w:tc>
          <w:tcPr>
            <w:tcW w:w="656" w:type="dxa"/>
            <w:shd w:val="clear" w:color="auto" w:fill="auto"/>
            <w:tcMar>
              <w:top w:w="15" w:type="dxa"/>
              <w:left w:w="108" w:type="dxa"/>
              <w:bottom w:w="0" w:type="dxa"/>
              <w:right w:w="108" w:type="dxa"/>
            </w:tcMar>
          </w:tcPr>
          <w:p>
            <w:pPr>
              <w:rPr>
                <w:sz w:val="21"/>
              </w:rPr>
            </w:pPr>
            <w:r>
              <w:rPr>
                <w:sz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3</w:t>
            </w:r>
          </w:p>
          <w:p>
            <w:pPr>
              <w:jc w:val="center"/>
              <w:rPr>
                <w:rFonts w:eastAsia="等线"/>
                <w:sz w:val="21"/>
              </w:rPr>
            </w:pPr>
          </w:p>
        </w:tc>
        <w:tc>
          <w:tcPr>
            <w:tcW w:w="4861" w:type="dxa"/>
            <w:vAlign w:val="center"/>
          </w:tcPr>
          <w:p>
            <w:pPr>
              <w:rPr>
                <w:rFonts w:eastAsia="等线"/>
                <w:sz w:val="21"/>
              </w:rPr>
            </w:pPr>
            <w:r>
              <w:rPr>
                <w:rFonts w:eastAsia="等线"/>
                <w:sz w:val="21"/>
              </w:rPr>
              <w:t>Inaccuracy caused by the synchronisation between the gNB and external clock (TE</w:t>
            </w:r>
            <w:r>
              <w:rPr>
                <w:rFonts w:eastAsia="等线"/>
                <w:sz w:val="21"/>
                <w:vertAlign w:val="subscript"/>
              </w:rPr>
              <w:t>EC</w:t>
            </w:r>
            <w:r>
              <w:rPr>
                <w:rFonts w:eastAsia="等线"/>
                <w:sz w:val="21"/>
              </w:rPr>
              <w:t>)</w:t>
            </w:r>
          </w:p>
        </w:tc>
        <w:tc>
          <w:tcPr>
            <w:tcW w:w="656" w:type="dxa"/>
            <w:shd w:val="clear" w:color="auto" w:fill="auto"/>
            <w:tcMar>
              <w:top w:w="15" w:type="dxa"/>
              <w:left w:w="108" w:type="dxa"/>
              <w:bottom w:w="0" w:type="dxa"/>
              <w:right w:w="108" w:type="dxa"/>
            </w:tcMar>
          </w:tcPr>
          <w:p>
            <w:pPr>
              <w:rPr>
                <w:sz w:val="21"/>
              </w:rPr>
            </w:pPr>
            <w:r>
              <w:rPr>
                <w:sz w:val="21"/>
              </w:rPr>
              <w:t>100</w:t>
            </w:r>
          </w:p>
        </w:tc>
        <w:tc>
          <w:tcPr>
            <w:tcW w:w="656" w:type="dxa"/>
            <w:shd w:val="clear" w:color="auto" w:fill="auto"/>
            <w:tcMar>
              <w:top w:w="15" w:type="dxa"/>
              <w:left w:w="108" w:type="dxa"/>
              <w:bottom w:w="0" w:type="dxa"/>
              <w:right w:w="108" w:type="dxa"/>
            </w:tcMar>
          </w:tcPr>
          <w:p>
            <w:pPr>
              <w:rPr>
                <w:sz w:val="21"/>
              </w:rPr>
            </w:pPr>
            <w:r>
              <w:rPr>
                <w:sz w:val="21"/>
              </w:rPr>
              <w:t>100</w:t>
            </w:r>
          </w:p>
        </w:tc>
        <w:tc>
          <w:tcPr>
            <w:tcW w:w="689" w:type="dxa"/>
            <w:shd w:val="clear" w:color="auto" w:fill="auto"/>
            <w:tcMar>
              <w:top w:w="15" w:type="dxa"/>
              <w:left w:w="108" w:type="dxa"/>
              <w:bottom w:w="0" w:type="dxa"/>
              <w:right w:w="108" w:type="dxa"/>
            </w:tcMar>
          </w:tcPr>
          <w:p>
            <w:pPr>
              <w:rPr>
                <w:sz w:val="21"/>
              </w:rPr>
            </w:pPr>
            <w:r>
              <w:rPr>
                <w:sz w:val="21"/>
              </w:rPr>
              <w:t>100</w:t>
            </w:r>
          </w:p>
        </w:tc>
        <w:tc>
          <w:tcPr>
            <w:tcW w:w="656" w:type="dxa"/>
            <w:shd w:val="clear" w:color="auto" w:fill="auto"/>
            <w:tcMar>
              <w:top w:w="15" w:type="dxa"/>
              <w:left w:w="108" w:type="dxa"/>
              <w:bottom w:w="0" w:type="dxa"/>
              <w:right w:w="108" w:type="dxa"/>
            </w:tcMar>
          </w:tcPr>
          <w:p>
            <w:pPr>
              <w:rPr>
                <w:sz w:val="21"/>
              </w:rPr>
            </w:pPr>
            <w:r>
              <w:rPr>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highlight w:val="yellow"/>
              </w:rPr>
            </w:pPr>
            <w:r>
              <w:rPr>
                <w:rFonts w:eastAsia="等线"/>
                <w:sz w:val="21"/>
                <w:highlight w:val="yellow"/>
              </w:rPr>
              <w:t>Total error</w:t>
            </w:r>
          </w:p>
        </w:tc>
        <w:tc>
          <w:tcPr>
            <w:tcW w:w="4861" w:type="dxa"/>
          </w:tcPr>
          <w:p>
            <w:pPr>
              <w:rPr>
                <w:rFonts w:eastAsia="等线"/>
                <w:sz w:val="21"/>
                <w:highlight w:val="yellow"/>
              </w:rPr>
            </w:pPr>
            <w:r>
              <w:rPr>
                <w:rFonts w:eastAsia="等线"/>
                <w:sz w:val="21"/>
                <w:highlight w:val="yellow"/>
              </w:rPr>
              <w:t xml:space="preserve"> </w:t>
            </w:r>
            <w:r>
              <w:rPr>
                <w:rFonts w:hint="eastAsia" w:eastAsia="等线"/>
                <w:sz w:val="21"/>
                <w:highlight w:val="yellow"/>
              </w:rPr>
              <w:t xml:space="preserve">Total inaccuracy </w:t>
            </w:r>
            <w:r>
              <w:rPr>
                <w:rFonts w:eastAsia="等线"/>
                <w:sz w:val="21"/>
                <w:highlight w:val="yellow"/>
              </w:rPr>
              <w:t xml:space="preserve">for 20 km2 service area (with propagation compensation) </w:t>
            </w:r>
            <w:r>
              <w:rPr>
                <w:rFonts w:hint="eastAsia" w:eastAsia="等线"/>
                <w:sz w:val="21"/>
                <w:highlight w:val="yellow"/>
              </w:rPr>
              <w:t>=</w:t>
            </w:r>
            <w:r>
              <w:rPr>
                <w:rFonts w:eastAsia="等线"/>
                <w:sz w:val="21"/>
                <w:highlight w:val="yellow"/>
              </w:rPr>
              <w:t xml:space="preserve"> (2*(1.1+1.2+1.3+2+3))</w:t>
            </w:r>
          </w:p>
        </w:tc>
        <w:tc>
          <w:tcPr>
            <w:tcW w:w="656" w:type="dxa"/>
            <w:shd w:val="clear" w:color="auto" w:fill="auto"/>
            <w:tcMar>
              <w:top w:w="15" w:type="dxa"/>
              <w:left w:w="108" w:type="dxa"/>
              <w:bottom w:w="0" w:type="dxa"/>
              <w:right w:w="108" w:type="dxa"/>
            </w:tcMar>
            <w:vAlign w:val="center"/>
          </w:tcPr>
          <w:p>
            <w:pPr>
              <w:rPr>
                <w:rFonts w:eastAsia="等线"/>
                <w:sz w:val="21"/>
                <w:highlight w:val="yellow"/>
              </w:rPr>
            </w:pPr>
            <w:r>
              <w:rPr>
                <w:rFonts w:eastAsia="等线"/>
                <w:sz w:val="21"/>
                <w:highlight w:val="yellow"/>
              </w:rPr>
              <w:t>1610</w:t>
            </w:r>
          </w:p>
        </w:tc>
        <w:tc>
          <w:tcPr>
            <w:tcW w:w="656" w:type="dxa"/>
            <w:shd w:val="clear" w:color="auto" w:fill="auto"/>
            <w:tcMar>
              <w:top w:w="15" w:type="dxa"/>
              <w:left w:w="108" w:type="dxa"/>
              <w:bottom w:w="0" w:type="dxa"/>
              <w:right w:w="108" w:type="dxa"/>
            </w:tcMar>
            <w:vAlign w:val="center"/>
          </w:tcPr>
          <w:p>
            <w:pPr>
              <w:rPr>
                <w:rFonts w:eastAsia="等线"/>
                <w:sz w:val="21"/>
                <w:highlight w:val="yellow"/>
              </w:rPr>
            </w:pPr>
            <w:r>
              <w:rPr>
                <w:rFonts w:eastAsia="等线"/>
                <w:sz w:val="21"/>
                <w:highlight w:val="yellow"/>
              </w:rPr>
              <w:t>1350</w:t>
            </w:r>
          </w:p>
        </w:tc>
        <w:tc>
          <w:tcPr>
            <w:tcW w:w="689" w:type="dxa"/>
            <w:shd w:val="clear" w:color="auto" w:fill="auto"/>
            <w:tcMar>
              <w:top w:w="15" w:type="dxa"/>
              <w:left w:w="108" w:type="dxa"/>
              <w:bottom w:w="0" w:type="dxa"/>
              <w:right w:w="108" w:type="dxa"/>
            </w:tcMar>
            <w:vAlign w:val="center"/>
          </w:tcPr>
          <w:p>
            <w:pPr>
              <w:rPr>
                <w:rFonts w:eastAsia="等线"/>
                <w:sz w:val="21"/>
                <w:highlight w:val="yellow"/>
              </w:rPr>
            </w:pPr>
            <w:r>
              <w:rPr>
                <w:rFonts w:eastAsia="等线"/>
                <w:sz w:val="21"/>
                <w:highlight w:val="yellow"/>
              </w:rPr>
              <w:t>1051</w:t>
            </w:r>
          </w:p>
        </w:tc>
        <w:tc>
          <w:tcPr>
            <w:tcW w:w="656" w:type="dxa"/>
            <w:shd w:val="clear" w:color="auto" w:fill="auto"/>
            <w:tcMar>
              <w:top w:w="15" w:type="dxa"/>
              <w:left w:w="108" w:type="dxa"/>
              <w:bottom w:w="0" w:type="dxa"/>
              <w:right w:w="108" w:type="dxa"/>
            </w:tcMar>
            <w:vAlign w:val="center"/>
          </w:tcPr>
          <w:p>
            <w:pPr>
              <w:rPr>
                <w:rFonts w:eastAsia="等线"/>
                <w:sz w:val="21"/>
                <w:highlight w:val="yellow"/>
              </w:rPr>
            </w:pPr>
            <w:r>
              <w:rPr>
                <w:color w:val="000000"/>
                <w:szCs w:val="22"/>
              </w:rPr>
              <w:t>774</w:t>
            </w:r>
          </w:p>
        </w:tc>
      </w:tr>
    </w:tbl>
    <w:p>
      <w:pPr>
        <w:rPr>
          <w:lang w:eastAsia="ko-KR"/>
        </w:rPr>
      </w:pPr>
      <w:r>
        <w:rPr>
          <w:lang w:eastAsia="ko-KR"/>
        </w:rPr>
        <w:t>Here we consider that we can firstly confirm that the propagation delay compensation is based on N</w:t>
      </w:r>
      <w:r>
        <w:rPr>
          <w:vertAlign w:val="subscript"/>
          <w:lang w:eastAsia="ko-KR"/>
        </w:rPr>
        <w:t>TA</w:t>
      </w:r>
      <w:r>
        <w:rPr>
          <w:lang w:eastAsia="ko-KR"/>
        </w:rPr>
        <w:t>/2. Then we do not have to introduce other measurements and procedures, as the TA which is always needed for the uplink synchronization can be obtained via the RACH procedure.</w:t>
      </w:r>
    </w:p>
    <w:p>
      <w:pPr>
        <w:rPr>
          <w:b/>
          <w:lang w:eastAsia="ko-KR"/>
        </w:rPr>
      </w:pPr>
      <w:r>
        <w:rPr>
          <w:b/>
          <w:lang w:eastAsia="ko-KR"/>
        </w:rPr>
        <w:t>Proposal 1: N</w:t>
      </w:r>
      <w:r>
        <w:rPr>
          <w:b/>
          <w:vertAlign w:val="subscript"/>
          <w:lang w:eastAsia="ko-KR"/>
        </w:rPr>
        <w:t>TA</w:t>
      </w:r>
      <w:r>
        <w:rPr>
          <w:b/>
          <w:lang w:eastAsia="ko-KR"/>
        </w:rPr>
        <w:t>/2 is used for the propagation delay compensation of the reference time.</w:t>
      </w:r>
    </w:p>
    <w:p>
      <w:pPr>
        <w:rPr>
          <w:lang w:eastAsia="ko-KR"/>
        </w:rPr>
      </w:pPr>
      <w:r>
        <w:rPr>
          <w:lang w:eastAsia="ko-KR"/>
        </w:rPr>
        <w:t xml:space="preserve">According to the analysis given in the above table, the inaccuracy of 15/30/60 KHz SCS cannot fulfil the TSN clock synchronization requirements of 1us. </w:t>
      </w:r>
    </w:p>
    <w:p>
      <w:pPr>
        <w:rPr>
          <w:b/>
          <w:lang w:eastAsia="ko-KR"/>
        </w:rPr>
      </w:pPr>
      <w:r>
        <w:rPr>
          <w:b/>
          <w:lang w:eastAsia="ko-KR"/>
        </w:rPr>
        <w:t>Observation 1: After the propagation delay compensation, the inaccuracy of 15/30/60 KHz SCS cannot fulfil the TSN clock synchronization requirements.</w:t>
      </w:r>
    </w:p>
    <w:p>
      <w:pPr>
        <w:rPr>
          <w:lang w:eastAsia="ko-KR"/>
        </w:rPr>
      </w:pPr>
      <w:r>
        <w:rPr>
          <w:lang w:eastAsia="ko-KR"/>
        </w:rPr>
        <w:t>Thus even after the propagation delay compensation, the potential enhancements could include following aspects:</w:t>
      </w:r>
    </w:p>
    <w:p>
      <w:pPr>
        <w:pStyle w:val="71"/>
        <w:numPr>
          <w:ilvl w:val="0"/>
          <w:numId w:val="10"/>
        </w:numPr>
        <w:ind w:firstLineChars="0"/>
        <w:rPr>
          <w:lang w:eastAsia="ko-KR"/>
        </w:rPr>
      </w:pPr>
      <w:r>
        <w:rPr>
          <w:lang w:eastAsia="ko-KR"/>
        </w:rPr>
        <w:t>More accurate DL signal detection (1.2)</w:t>
      </w:r>
    </w:p>
    <w:p>
      <w:pPr>
        <w:pStyle w:val="71"/>
        <w:numPr>
          <w:ilvl w:val="0"/>
          <w:numId w:val="10"/>
        </w:numPr>
        <w:ind w:firstLineChars="0"/>
        <w:rPr>
          <w:lang w:eastAsia="ko-KR"/>
        </w:rPr>
      </w:pPr>
      <w:r>
        <w:rPr>
          <w:lang w:eastAsia="ko-KR"/>
        </w:rPr>
        <w:t>More accurate UL signal transmission (1.3.1)</w:t>
      </w:r>
    </w:p>
    <w:p>
      <w:pPr>
        <w:pStyle w:val="71"/>
        <w:numPr>
          <w:ilvl w:val="0"/>
          <w:numId w:val="10"/>
        </w:numPr>
        <w:ind w:firstLineChars="0"/>
        <w:rPr>
          <w:lang w:eastAsia="ko-KR"/>
        </w:rPr>
      </w:pPr>
      <w:r>
        <w:rPr>
          <w:lang w:eastAsia="ko-KR"/>
        </w:rPr>
        <w:t>More accurate UL signal detection (1.3.2)</w:t>
      </w:r>
    </w:p>
    <w:p>
      <w:pPr>
        <w:pStyle w:val="71"/>
        <w:numPr>
          <w:ilvl w:val="0"/>
          <w:numId w:val="10"/>
        </w:numPr>
        <w:ind w:firstLineChars="0"/>
        <w:rPr>
          <w:lang w:eastAsia="ko-KR"/>
        </w:rPr>
      </w:pPr>
      <w:r>
        <w:rPr>
          <w:lang w:eastAsia="ko-KR"/>
        </w:rPr>
        <w:t>Finer granularity of TA indication (1.3.3)</w:t>
      </w:r>
    </w:p>
    <w:p>
      <w:pPr>
        <w:rPr>
          <w:b/>
          <w:lang w:eastAsia="ko-KR"/>
        </w:rPr>
      </w:pPr>
      <w:r>
        <w:rPr>
          <w:b/>
          <w:lang w:eastAsia="ko-KR"/>
        </w:rPr>
        <w:t>Observation 2: The potential enhancements after propagation delay compensation could include the following aspects:</w:t>
      </w:r>
    </w:p>
    <w:p>
      <w:pPr>
        <w:pStyle w:val="71"/>
        <w:numPr>
          <w:ilvl w:val="0"/>
          <w:numId w:val="10"/>
        </w:numPr>
        <w:ind w:firstLineChars="0"/>
        <w:rPr>
          <w:b/>
          <w:lang w:eastAsia="ko-KR"/>
        </w:rPr>
      </w:pPr>
      <w:r>
        <w:rPr>
          <w:b/>
          <w:lang w:eastAsia="ko-KR"/>
        </w:rPr>
        <w:t>More accurate DL signal detection (1.2)</w:t>
      </w:r>
    </w:p>
    <w:p>
      <w:pPr>
        <w:pStyle w:val="71"/>
        <w:numPr>
          <w:ilvl w:val="0"/>
          <w:numId w:val="10"/>
        </w:numPr>
        <w:ind w:firstLineChars="0"/>
        <w:rPr>
          <w:b/>
          <w:lang w:eastAsia="ko-KR"/>
        </w:rPr>
      </w:pPr>
      <w:r>
        <w:rPr>
          <w:b/>
          <w:lang w:eastAsia="ko-KR"/>
        </w:rPr>
        <w:t>More accurate UL signal transmission (1.3.1)</w:t>
      </w:r>
    </w:p>
    <w:p>
      <w:pPr>
        <w:pStyle w:val="71"/>
        <w:numPr>
          <w:ilvl w:val="0"/>
          <w:numId w:val="10"/>
        </w:numPr>
        <w:ind w:firstLineChars="0"/>
        <w:rPr>
          <w:b/>
          <w:lang w:eastAsia="ko-KR"/>
        </w:rPr>
      </w:pPr>
      <w:r>
        <w:rPr>
          <w:b/>
          <w:lang w:eastAsia="ko-KR"/>
        </w:rPr>
        <w:t>More accurate UL signal detection (1.3.2)</w:t>
      </w:r>
    </w:p>
    <w:p>
      <w:pPr>
        <w:pStyle w:val="71"/>
        <w:numPr>
          <w:ilvl w:val="0"/>
          <w:numId w:val="10"/>
        </w:numPr>
        <w:ind w:firstLineChars="0"/>
        <w:rPr>
          <w:b/>
          <w:lang w:eastAsia="ko-KR"/>
        </w:rPr>
      </w:pPr>
      <w:r>
        <w:rPr>
          <w:b/>
          <w:lang w:eastAsia="ko-KR"/>
        </w:rPr>
        <w:t>Finer granularity of TA indication (1.3.3)</w:t>
      </w:r>
    </w:p>
    <w:p>
      <w:pPr>
        <w:rPr>
          <w:lang w:eastAsia="ko-KR"/>
        </w:rPr>
      </w:pPr>
      <w:r>
        <w:rPr>
          <w:lang w:eastAsia="ko-KR"/>
        </w:rPr>
        <w:t>With the above Observation 1 and 2, RAN2 is kindly requested to discuss whether an LS to RAN1 and RAN4 is needed to consider the potential enhancements after the propagation delay compensation.</w:t>
      </w:r>
    </w:p>
    <w:p>
      <w:pPr>
        <w:rPr>
          <w:b/>
          <w:lang w:eastAsia="ko-KR"/>
        </w:rPr>
      </w:pPr>
      <w:r>
        <w:rPr>
          <w:b/>
          <w:lang w:eastAsia="ko-KR"/>
        </w:rPr>
        <w:t>Proposal 2: RAN2 is kindly requested to discuss whether an LS to RAN1 and RAN4 is needed to consider the following enhancements:</w:t>
      </w:r>
    </w:p>
    <w:p>
      <w:pPr>
        <w:pStyle w:val="71"/>
        <w:numPr>
          <w:ilvl w:val="0"/>
          <w:numId w:val="10"/>
        </w:numPr>
        <w:ind w:firstLineChars="0"/>
        <w:rPr>
          <w:b/>
          <w:lang w:eastAsia="ko-KR"/>
        </w:rPr>
      </w:pPr>
      <w:r>
        <w:rPr>
          <w:b/>
          <w:lang w:eastAsia="ko-KR"/>
        </w:rPr>
        <w:t>More accurate DL signal detection (1.2)</w:t>
      </w:r>
    </w:p>
    <w:p>
      <w:pPr>
        <w:pStyle w:val="71"/>
        <w:numPr>
          <w:ilvl w:val="0"/>
          <w:numId w:val="10"/>
        </w:numPr>
        <w:ind w:firstLineChars="0"/>
        <w:rPr>
          <w:b/>
          <w:lang w:eastAsia="ko-KR"/>
        </w:rPr>
      </w:pPr>
      <w:r>
        <w:rPr>
          <w:b/>
          <w:lang w:eastAsia="ko-KR"/>
        </w:rPr>
        <w:t>More accurate UL signal transmission (1.3.1)</w:t>
      </w:r>
    </w:p>
    <w:p>
      <w:pPr>
        <w:pStyle w:val="71"/>
        <w:numPr>
          <w:ilvl w:val="0"/>
          <w:numId w:val="10"/>
        </w:numPr>
        <w:ind w:firstLineChars="0"/>
        <w:rPr>
          <w:b/>
          <w:lang w:eastAsia="ko-KR"/>
        </w:rPr>
      </w:pPr>
      <w:r>
        <w:rPr>
          <w:b/>
          <w:lang w:eastAsia="ko-KR"/>
        </w:rPr>
        <w:t>More accurate UL signal detection (1.3.2)</w:t>
      </w:r>
    </w:p>
    <w:p>
      <w:pPr>
        <w:pStyle w:val="71"/>
        <w:numPr>
          <w:ilvl w:val="0"/>
          <w:numId w:val="10"/>
        </w:numPr>
        <w:ind w:firstLineChars="0"/>
        <w:rPr>
          <w:lang w:eastAsia="ko-KR"/>
        </w:rPr>
      </w:pPr>
      <w:r>
        <w:rPr>
          <w:b/>
          <w:lang w:eastAsia="ko-KR"/>
        </w:rPr>
        <w:t>Finer granularity of TA indication (1.3.3)</w:t>
      </w:r>
      <w:bookmarkStart w:id="6" w:name="_GoBack"/>
      <w:bookmarkEnd w:id="6"/>
    </w:p>
    <w:p>
      <w:pPr>
        <w:pStyle w:val="2"/>
        <w:jc w:val="left"/>
      </w:pPr>
      <w:r>
        <w:t>Conclusions</w:t>
      </w:r>
    </w:p>
    <w:p>
      <w:pPr>
        <w:spacing w:afterLines="50" w:line="240" w:lineRule="auto"/>
        <w:jc w:val="left"/>
      </w:pPr>
      <w:r>
        <w:t>Based on the analysis given above, we have the following Observations and Proposals:</w:t>
      </w:r>
    </w:p>
    <w:p>
      <w:pPr>
        <w:rPr>
          <w:b/>
          <w:lang w:eastAsia="ko-KR"/>
        </w:rPr>
      </w:pPr>
      <w:r>
        <w:rPr>
          <w:b/>
          <w:lang w:eastAsia="ko-KR"/>
        </w:rPr>
        <w:t>Observation 1: After the propagation delay compensation, the inaccuracy of 15/30/60 KHz SCS cannot fulfil the TSN clock synchronization requirements.</w:t>
      </w:r>
    </w:p>
    <w:p>
      <w:pPr>
        <w:rPr>
          <w:b/>
          <w:lang w:eastAsia="ko-KR"/>
        </w:rPr>
      </w:pPr>
      <w:r>
        <w:rPr>
          <w:b/>
          <w:lang w:eastAsia="ko-KR"/>
        </w:rPr>
        <w:t>Observation 2: The potential enhancements after propagation delay compensation could include the following aspects:</w:t>
      </w:r>
    </w:p>
    <w:p>
      <w:pPr>
        <w:pStyle w:val="71"/>
        <w:numPr>
          <w:ilvl w:val="0"/>
          <w:numId w:val="10"/>
        </w:numPr>
        <w:ind w:firstLineChars="0"/>
        <w:rPr>
          <w:b/>
          <w:lang w:eastAsia="ko-KR"/>
        </w:rPr>
      </w:pPr>
      <w:r>
        <w:rPr>
          <w:b/>
          <w:lang w:eastAsia="ko-KR"/>
        </w:rPr>
        <w:t>More accurate DL signal detection (1.2)</w:t>
      </w:r>
    </w:p>
    <w:p>
      <w:pPr>
        <w:pStyle w:val="71"/>
        <w:numPr>
          <w:ilvl w:val="0"/>
          <w:numId w:val="10"/>
        </w:numPr>
        <w:ind w:firstLineChars="0"/>
        <w:rPr>
          <w:b/>
          <w:lang w:eastAsia="ko-KR"/>
        </w:rPr>
      </w:pPr>
      <w:r>
        <w:rPr>
          <w:b/>
          <w:lang w:eastAsia="ko-KR"/>
        </w:rPr>
        <w:t>More accurate UL signal transmission (1.3.1)</w:t>
      </w:r>
    </w:p>
    <w:p>
      <w:pPr>
        <w:pStyle w:val="71"/>
        <w:numPr>
          <w:ilvl w:val="0"/>
          <w:numId w:val="10"/>
        </w:numPr>
        <w:ind w:firstLineChars="0"/>
        <w:rPr>
          <w:b/>
          <w:lang w:eastAsia="ko-KR"/>
        </w:rPr>
      </w:pPr>
      <w:r>
        <w:rPr>
          <w:b/>
          <w:lang w:eastAsia="ko-KR"/>
        </w:rPr>
        <w:t>More accurate UL signal detection (1.3.2)</w:t>
      </w:r>
    </w:p>
    <w:p>
      <w:pPr>
        <w:pStyle w:val="71"/>
        <w:numPr>
          <w:ilvl w:val="0"/>
          <w:numId w:val="10"/>
        </w:numPr>
        <w:ind w:firstLineChars="0"/>
        <w:rPr>
          <w:b/>
          <w:lang w:eastAsia="ko-KR"/>
        </w:rPr>
      </w:pPr>
      <w:r>
        <w:rPr>
          <w:b/>
          <w:lang w:eastAsia="ko-KR"/>
        </w:rPr>
        <w:t>Finer granularity of TA indication (1.3.3)</w:t>
      </w:r>
    </w:p>
    <w:p>
      <w:pPr>
        <w:rPr>
          <w:b/>
          <w:lang w:eastAsia="ko-KR"/>
        </w:rPr>
      </w:pPr>
      <w:r>
        <w:rPr>
          <w:b/>
          <w:lang w:eastAsia="ko-KR"/>
        </w:rPr>
        <w:t>Proposal 1: N</w:t>
      </w:r>
      <w:r>
        <w:rPr>
          <w:b/>
          <w:vertAlign w:val="subscript"/>
          <w:lang w:eastAsia="ko-KR"/>
        </w:rPr>
        <w:t>TA</w:t>
      </w:r>
      <w:r>
        <w:rPr>
          <w:b/>
          <w:lang w:eastAsia="ko-KR"/>
        </w:rPr>
        <w:t>/2 is used for the propagation delay compensation of the reference time.</w:t>
      </w:r>
    </w:p>
    <w:p>
      <w:pPr>
        <w:rPr>
          <w:b/>
          <w:lang w:eastAsia="ko-KR"/>
        </w:rPr>
      </w:pPr>
      <w:r>
        <w:rPr>
          <w:b/>
          <w:lang w:eastAsia="ko-KR"/>
        </w:rPr>
        <w:t>Proposal 2: RAN2 is kindly requested to discuss whether an LS to RAN1 and RAN4 is needed to consider the following enhancements:</w:t>
      </w:r>
    </w:p>
    <w:p>
      <w:pPr>
        <w:pStyle w:val="71"/>
        <w:numPr>
          <w:ilvl w:val="0"/>
          <w:numId w:val="10"/>
        </w:numPr>
        <w:ind w:firstLineChars="0"/>
        <w:rPr>
          <w:b/>
          <w:lang w:eastAsia="ko-KR"/>
        </w:rPr>
      </w:pPr>
      <w:r>
        <w:rPr>
          <w:b/>
          <w:lang w:eastAsia="ko-KR"/>
        </w:rPr>
        <w:t>More accurate DL signal detection (1.2)</w:t>
      </w:r>
    </w:p>
    <w:p>
      <w:pPr>
        <w:pStyle w:val="71"/>
        <w:numPr>
          <w:ilvl w:val="0"/>
          <w:numId w:val="10"/>
        </w:numPr>
        <w:ind w:firstLineChars="0"/>
        <w:rPr>
          <w:b/>
          <w:lang w:eastAsia="ko-KR"/>
        </w:rPr>
      </w:pPr>
      <w:r>
        <w:rPr>
          <w:b/>
          <w:lang w:eastAsia="ko-KR"/>
        </w:rPr>
        <w:t>More accurate UL signal transmission (1.3.1)</w:t>
      </w:r>
    </w:p>
    <w:p>
      <w:pPr>
        <w:pStyle w:val="71"/>
        <w:numPr>
          <w:ilvl w:val="0"/>
          <w:numId w:val="10"/>
        </w:numPr>
        <w:ind w:firstLineChars="0"/>
        <w:rPr>
          <w:b/>
          <w:lang w:eastAsia="ko-KR"/>
        </w:rPr>
      </w:pPr>
      <w:r>
        <w:rPr>
          <w:b/>
          <w:lang w:eastAsia="ko-KR"/>
        </w:rPr>
        <w:t>More accurate UL signal detection (1.3.2)</w:t>
      </w:r>
    </w:p>
    <w:p>
      <w:pPr>
        <w:pStyle w:val="71"/>
        <w:numPr>
          <w:ilvl w:val="0"/>
          <w:numId w:val="10"/>
        </w:numPr>
        <w:ind w:firstLineChars="0"/>
        <w:rPr>
          <w:b/>
          <w:lang w:eastAsia="ko-KR"/>
        </w:rPr>
      </w:pPr>
      <w:r>
        <w:rPr>
          <w:b/>
          <w:lang w:eastAsia="ko-KR"/>
        </w:rPr>
        <w:t>Finer granularity of TA indication (1.3.3)</w:t>
      </w:r>
    </w:p>
    <w:p>
      <w:pPr>
        <w:spacing w:afterLines="50" w:line="240" w:lineRule="auto"/>
        <w:jc w:val="left"/>
      </w:pPr>
    </w:p>
    <w:p>
      <w:pPr>
        <w:pStyle w:val="2"/>
        <w:spacing w:before="180" w:line="240" w:lineRule="auto"/>
        <w:ind w:left="0" w:firstLine="0"/>
        <w:jc w:val="left"/>
      </w:pPr>
      <w:bookmarkStart w:id="2" w:name="_Toc502437832"/>
      <w:r>
        <w:t>Reference</w:t>
      </w:r>
    </w:p>
    <w:bookmarkEnd w:id="2"/>
    <w:p>
      <w:pPr>
        <w:spacing w:afterLines="50" w:line="240" w:lineRule="auto"/>
        <w:jc w:val="left"/>
      </w:pPr>
      <w:r>
        <w:t>[1] RP-201310, Nokia, “Revised WID: Enhanced Industrial Internet of Things (IoT) and ultra-reliable and low latency communication (URLLC) support for NR”.</w:t>
      </w:r>
    </w:p>
    <w:p>
      <w:pPr>
        <w:spacing w:afterLines="50" w:line="240" w:lineRule="auto"/>
        <w:jc w:val="left"/>
      </w:pPr>
      <w:r>
        <w:t>[2] R2-1900838, vivo, “Potential enhancements on the reference time accuracy”.</w:t>
      </w:r>
    </w:p>
    <w:p>
      <w:pPr>
        <w:spacing w:afterLines="50" w:line="240" w:lineRule="auto"/>
        <w:jc w:val="left"/>
      </w:pPr>
      <w:r>
        <w:t>[3] R2-1818254, NTT DOCOMO, INC.</w:t>
      </w:r>
      <w:r>
        <w:rPr>
          <w:rFonts w:hint="eastAsia"/>
        </w:rPr>
        <w:t>,</w:t>
      </w:r>
      <w:r>
        <w:t xml:space="preserve"> “Time Synchronisation for IIOT”.</w:t>
      </w:r>
    </w:p>
    <w:p>
      <w:pPr>
        <w:spacing w:afterLines="50" w:line="240" w:lineRule="auto"/>
        <w:jc w:val="left"/>
      </w:pPr>
      <w:r>
        <w:t>[4] R1-1900935, Nokia, “Discussion on the RAN2 LS on TSN requirements evaluation”.</w:t>
      </w:r>
    </w:p>
    <w:p>
      <w:pPr>
        <w:spacing w:afterLines="50" w:line="240" w:lineRule="auto"/>
        <w:jc w:val="left"/>
      </w:pPr>
      <w:r>
        <w:t>[5] 3GPP TR 22.104, “Service requirements for cyber-physical control applications in vertical domains”.</w:t>
      </w:r>
    </w:p>
    <w:p>
      <w:pPr>
        <w:pStyle w:val="2"/>
        <w:spacing w:before="180" w:line="240" w:lineRule="auto"/>
        <w:ind w:left="0" w:firstLine="0"/>
        <w:jc w:val="left"/>
      </w:pPr>
      <w:r>
        <w:t>Annex A</w:t>
      </w:r>
    </w:p>
    <w:p>
      <w:pPr>
        <w:spacing w:afterLines="50" w:line="240" w:lineRule="auto"/>
        <w:jc w:val="left"/>
      </w:pPr>
      <w:r>
        <w:t>The following texts are extracted from [4]:</w:t>
      </w:r>
    </w:p>
    <w:tbl>
      <w:tblPr>
        <w:tblStyle w:val="27"/>
        <w:tblW w:w="1148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83" w:type="dxa"/>
          </w:tcPr>
          <w:p>
            <w:pPr>
              <w:pStyle w:val="4"/>
              <w:numPr>
                <w:ilvl w:val="0"/>
                <w:numId w:val="0"/>
              </w:numPr>
              <w:ind w:left="720" w:hanging="720"/>
              <w:rPr>
                <w:lang w:eastAsia="zh-CN"/>
              </w:rPr>
            </w:pPr>
            <w:r>
              <w:rPr>
                <w:lang w:eastAsia="zh-CN"/>
              </w:rPr>
              <w:t>3.2.1 gNB transmit time alignment error (TE</w:t>
            </w:r>
            <w:r>
              <w:rPr>
                <w:vertAlign w:val="subscript"/>
                <w:lang w:eastAsia="zh-CN"/>
              </w:rPr>
              <w:t>TAE</w:t>
            </w:r>
            <w:r>
              <w:rPr>
                <w:lang w:eastAsia="zh-CN"/>
              </w:rPr>
              <w:t>)</w:t>
            </w:r>
          </w:p>
          <w:p>
            <w:pPr>
              <w:rPr>
                <w:szCs w:val="22"/>
              </w:rPr>
            </w:pPr>
            <w:r>
              <w:rPr>
                <w:szCs w:val="22"/>
              </w:rPr>
              <w:t xml:space="preserve">The maximum gNB transmit time alignment error is defined in 38.104 Sec. 6.5.3. At a single carrier, the maximum error is to be within ±65ns. </w:t>
            </w:r>
          </w:p>
          <w:p>
            <w:pPr>
              <w:pStyle w:val="4"/>
              <w:numPr>
                <w:ilvl w:val="0"/>
                <w:numId w:val="0"/>
              </w:numPr>
              <w:ind w:left="720" w:hanging="720"/>
              <w:rPr>
                <w:lang w:eastAsia="zh-CN"/>
              </w:rPr>
            </w:pPr>
            <w:r>
              <w:rPr>
                <w:lang w:eastAsia="zh-CN"/>
              </w:rPr>
              <w:t xml:space="preserve">3.2.2 </w:t>
            </w:r>
            <w:r>
              <w:rPr>
                <w:szCs w:val="22"/>
                <w:lang w:eastAsia="zh-CN"/>
              </w:rPr>
              <w:t>Propagation delay (</w:t>
            </w:r>
            <w:r>
              <w:rPr>
                <w:iCs/>
                <w:szCs w:val="22"/>
                <w:lang w:eastAsia="zh-CN"/>
              </w:rPr>
              <w:t>TE</w:t>
            </w:r>
            <w:r>
              <w:rPr>
                <w:iCs/>
                <w:szCs w:val="22"/>
                <w:vertAlign w:val="subscript"/>
                <w:lang w:eastAsia="zh-CN"/>
              </w:rPr>
              <w:t>PD</w:t>
            </w:r>
            <w:r>
              <w:rPr>
                <w:iCs/>
                <w:szCs w:val="22"/>
                <w:lang w:eastAsia="zh-CN"/>
              </w:rPr>
              <w:t>)</w:t>
            </w:r>
          </w:p>
          <w:p>
            <w:r>
              <w:t xml:space="preserve">This error source is only applicable for the case of small service areas without propagation delay / timing advance compensation. </w:t>
            </w:r>
          </w:p>
          <w:p>
            <w:pPr>
              <w:pStyle w:val="4"/>
              <w:numPr>
                <w:ilvl w:val="0"/>
                <w:numId w:val="0"/>
              </w:numPr>
              <w:ind w:left="720" w:hanging="720"/>
              <w:rPr>
                <w:lang w:eastAsia="zh-CN"/>
              </w:rPr>
            </w:pPr>
            <w:r>
              <w:rPr>
                <w:lang w:eastAsia="zh-CN"/>
              </w:rPr>
              <w:t>3.2.4 UE transmit timing error (TE</w:t>
            </w:r>
            <w:r>
              <w:rPr>
                <w:vertAlign w:val="subscript"/>
                <w:lang w:eastAsia="zh-CN"/>
              </w:rPr>
              <w:t>UE-DL-to-TX</w:t>
            </w:r>
            <w:r>
              <w:rPr>
                <w:lang w:eastAsia="zh-CN"/>
              </w:rPr>
              <w:t>)</w:t>
            </w:r>
          </w:p>
          <w:p>
            <w:pPr>
              <w:rPr>
                <w:szCs w:val="22"/>
              </w:rPr>
            </w:pPr>
            <w:r>
              <w:rPr>
                <w:szCs w:val="22"/>
              </w:rPr>
              <w:t xml:space="preserve">The maximum transmit timing error which is allowed according to 38.133 Sec. 7.1.2 is given by the following table: </w:t>
            </w:r>
          </w:p>
          <w:p>
            <w:pPr>
              <w:pStyle w:val="80"/>
              <w:rPr>
                <w:sz w:val="18"/>
              </w:rPr>
            </w:pPr>
            <w:r>
              <w:rPr>
                <w:sz w:val="18"/>
              </w:rPr>
              <w:t>Table 7.1.2-1: T</w:t>
            </w:r>
            <w:r>
              <w:rPr>
                <w:sz w:val="18"/>
                <w:vertAlign w:val="subscript"/>
              </w:rPr>
              <w:t>e</w:t>
            </w:r>
            <w:r>
              <w:rPr>
                <w:sz w:val="18"/>
              </w:rPr>
              <w:t xml:space="preserve"> Timing Error Limit</w:t>
            </w:r>
          </w:p>
          <w:tbl>
            <w:tblPr>
              <w:tblStyle w:val="26"/>
              <w:tblW w:w="7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782"/>
              <w:gridCol w:w="1783"/>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Align w:val="center"/>
                </w:tcPr>
                <w:p>
                  <w:pPr>
                    <w:keepNext/>
                    <w:keepLines/>
                    <w:spacing w:after="0"/>
                    <w:jc w:val="center"/>
                    <w:rPr>
                      <w:sz w:val="18"/>
                    </w:rPr>
                  </w:pPr>
                  <w:r>
                    <w:rPr>
                      <w:rFonts w:ascii="Arial" w:hAnsi="Arial"/>
                      <w:b/>
                      <w:sz w:val="16"/>
                    </w:rPr>
                    <w:t>Frequency Range</w:t>
                  </w:r>
                </w:p>
              </w:tc>
              <w:tc>
                <w:tcPr>
                  <w:tcW w:w="1782" w:type="dxa"/>
                  <w:vAlign w:val="center"/>
                </w:tcPr>
                <w:p>
                  <w:pPr>
                    <w:keepNext/>
                    <w:keepLines/>
                    <w:spacing w:after="0"/>
                    <w:jc w:val="center"/>
                    <w:rPr>
                      <w:sz w:val="18"/>
                    </w:rPr>
                  </w:pPr>
                  <w:r>
                    <w:rPr>
                      <w:rFonts w:ascii="Arial" w:hAnsi="Arial"/>
                      <w:b/>
                      <w:sz w:val="16"/>
                    </w:rPr>
                    <w:t>SCS of SSB signals (KHz)</w:t>
                  </w:r>
                </w:p>
              </w:tc>
              <w:tc>
                <w:tcPr>
                  <w:tcW w:w="1783" w:type="dxa"/>
                  <w:vAlign w:val="center"/>
                </w:tcPr>
                <w:p>
                  <w:pPr>
                    <w:keepNext/>
                    <w:keepLines/>
                    <w:spacing w:after="0"/>
                    <w:jc w:val="center"/>
                    <w:rPr>
                      <w:sz w:val="18"/>
                    </w:rPr>
                  </w:pPr>
                  <w:r>
                    <w:rPr>
                      <w:rFonts w:ascii="Arial" w:hAnsi="Arial"/>
                      <w:b/>
                      <w:sz w:val="16"/>
                    </w:rPr>
                    <w:t>SCS of uplink signals s(KHz)</w:t>
                  </w:r>
                </w:p>
              </w:tc>
              <w:tc>
                <w:tcPr>
                  <w:tcW w:w="2117" w:type="dxa"/>
                  <w:vAlign w:val="center"/>
                </w:tcPr>
                <w:p>
                  <w:pPr>
                    <w:keepNext/>
                    <w:keepLines/>
                    <w:spacing w:after="0"/>
                    <w:jc w:val="center"/>
                    <w:rPr>
                      <w:sz w:val="18"/>
                    </w:rPr>
                  </w:pPr>
                  <w:r>
                    <w:rPr>
                      <w:rFonts w:ascii="Arial" w:hAnsi="Arial"/>
                      <w:b/>
                      <w:sz w:val="16"/>
                    </w:rPr>
                    <w:t>T</w:t>
                  </w:r>
                  <w:r>
                    <w:rPr>
                      <w:rFonts w:ascii="Arial" w:hAnsi="Arial"/>
                      <w:b/>
                      <w:sz w:val="16"/>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restart"/>
                  <w:vAlign w:val="center"/>
                </w:tcPr>
                <w:p>
                  <w:pPr>
                    <w:keepNext/>
                    <w:keepLines/>
                    <w:spacing w:after="0"/>
                    <w:jc w:val="center"/>
                    <w:rPr>
                      <w:sz w:val="18"/>
                    </w:rPr>
                  </w:pPr>
                  <w:r>
                    <w:rPr>
                      <w:rFonts w:ascii="Arial" w:hAnsi="Arial"/>
                      <w:sz w:val="16"/>
                    </w:rPr>
                    <w:t>1</w:t>
                  </w:r>
                </w:p>
              </w:tc>
              <w:tc>
                <w:tcPr>
                  <w:tcW w:w="1782" w:type="dxa"/>
                  <w:vMerge w:val="restart"/>
                  <w:vAlign w:val="center"/>
                </w:tcPr>
                <w:p>
                  <w:pPr>
                    <w:keepNext/>
                    <w:keepLines/>
                    <w:spacing w:after="0"/>
                    <w:jc w:val="center"/>
                    <w:rPr>
                      <w:sz w:val="18"/>
                    </w:rPr>
                  </w:pPr>
                  <w:r>
                    <w:rPr>
                      <w:rFonts w:ascii="Arial" w:hAnsi="Arial"/>
                      <w:sz w:val="16"/>
                    </w:rPr>
                    <w:t>15</w:t>
                  </w:r>
                </w:p>
              </w:tc>
              <w:tc>
                <w:tcPr>
                  <w:tcW w:w="1783" w:type="dxa"/>
                </w:tcPr>
                <w:p>
                  <w:pPr>
                    <w:keepNext/>
                    <w:keepLines/>
                    <w:spacing w:after="0"/>
                    <w:jc w:val="center"/>
                    <w:rPr>
                      <w:sz w:val="18"/>
                    </w:rPr>
                  </w:pPr>
                  <w:r>
                    <w:rPr>
                      <w:rFonts w:ascii="Arial" w:hAnsi="Arial"/>
                      <w:sz w:val="16"/>
                    </w:rPr>
                    <w:t>15</w:t>
                  </w:r>
                </w:p>
              </w:tc>
              <w:tc>
                <w:tcPr>
                  <w:tcW w:w="2117" w:type="dxa"/>
                </w:tcPr>
                <w:p>
                  <w:pPr>
                    <w:keepNext/>
                    <w:keepLines/>
                    <w:spacing w:after="0"/>
                    <w:jc w:val="center"/>
                    <w:rPr>
                      <w:sz w:val="18"/>
                    </w:rPr>
                  </w:pPr>
                  <w:r>
                    <w:rPr>
                      <w:rFonts w:ascii="Arial" w:hAnsi="Arial"/>
                      <w:sz w:val="16"/>
                    </w:rPr>
                    <w:t>[12]*64*T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30</w:t>
                  </w:r>
                </w:p>
              </w:tc>
              <w:tc>
                <w:tcPr>
                  <w:tcW w:w="2117" w:type="dxa"/>
                </w:tcPr>
                <w:p>
                  <w:pPr>
                    <w:keepNext/>
                    <w:keepLines/>
                    <w:spacing w:after="0"/>
                    <w:jc w:val="center"/>
                    <w:rPr>
                      <w:sz w:val="18"/>
                    </w:rPr>
                  </w:pPr>
                  <w:r>
                    <w:rPr>
                      <w:rFonts w:ascii="Arial" w:hAnsi="Arial"/>
                      <w:sz w:val="16"/>
                    </w:rPr>
                    <w:t>[10]*64*T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r>
                    <w:rPr>
                      <w:rFonts w:ascii="Arial" w:hAnsi="Arial"/>
                      <w:sz w:val="16"/>
                    </w:rPr>
                    <w:t>[10]*64*T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restart"/>
                  <w:vAlign w:val="center"/>
                </w:tcPr>
                <w:p>
                  <w:pPr>
                    <w:keepNext/>
                    <w:keepLines/>
                    <w:spacing w:after="0"/>
                    <w:jc w:val="center"/>
                    <w:rPr>
                      <w:sz w:val="18"/>
                    </w:rPr>
                  </w:pPr>
                  <w:r>
                    <w:rPr>
                      <w:rFonts w:ascii="Arial" w:hAnsi="Arial"/>
                      <w:sz w:val="16"/>
                    </w:rPr>
                    <w:t>30</w:t>
                  </w:r>
                </w:p>
              </w:tc>
              <w:tc>
                <w:tcPr>
                  <w:tcW w:w="1783" w:type="dxa"/>
                </w:tcPr>
                <w:p>
                  <w:pPr>
                    <w:keepNext/>
                    <w:keepLines/>
                    <w:spacing w:after="0"/>
                    <w:jc w:val="center"/>
                    <w:rPr>
                      <w:sz w:val="18"/>
                    </w:rPr>
                  </w:pPr>
                  <w:r>
                    <w:rPr>
                      <w:rFonts w:ascii="Arial" w:hAnsi="Arial"/>
                      <w:sz w:val="16"/>
                    </w:rPr>
                    <w:t>15</w:t>
                  </w:r>
                </w:p>
              </w:tc>
              <w:tc>
                <w:tcPr>
                  <w:tcW w:w="2117" w:type="dxa"/>
                </w:tcPr>
                <w:p>
                  <w:pPr>
                    <w:keepNext/>
                    <w:keepLines/>
                    <w:spacing w:after="0"/>
                    <w:jc w:val="center"/>
                    <w:rPr>
                      <w:sz w:val="18"/>
                    </w:rPr>
                  </w:pPr>
                  <w:r>
                    <w:rPr>
                      <w:rFonts w:ascii="Arial" w:hAnsi="Arial"/>
                      <w:sz w:val="16"/>
                    </w:rPr>
                    <w:t>[8]*64*T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30</w:t>
                  </w:r>
                </w:p>
              </w:tc>
              <w:tc>
                <w:tcPr>
                  <w:tcW w:w="2117" w:type="dxa"/>
                </w:tcPr>
                <w:p>
                  <w:pPr>
                    <w:keepNext/>
                    <w:keepLines/>
                    <w:spacing w:after="0"/>
                    <w:jc w:val="center"/>
                    <w:rPr>
                      <w:sz w:val="18"/>
                    </w:rPr>
                  </w:pPr>
                  <w:r>
                    <w:rPr>
                      <w:rFonts w:ascii="Arial" w:hAnsi="Arial"/>
                      <w:sz w:val="16"/>
                    </w:rPr>
                    <w:t>[8]*64*T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r>
                    <w:rPr>
                      <w:rFonts w:ascii="Arial" w:hAnsi="Arial"/>
                      <w:sz w:val="16"/>
                    </w:rPr>
                    <w:t>[7]*64*T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restart"/>
                  <w:vAlign w:val="center"/>
                </w:tcPr>
                <w:p>
                  <w:pPr>
                    <w:keepNext/>
                    <w:keepLines/>
                    <w:spacing w:after="0"/>
                    <w:jc w:val="center"/>
                    <w:rPr>
                      <w:sz w:val="18"/>
                    </w:rPr>
                  </w:pPr>
                  <w:r>
                    <w:rPr>
                      <w:rFonts w:ascii="Arial" w:hAnsi="Arial"/>
                      <w:sz w:val="16"/>
                    </w:rPr>
                    <w:t>2</w:t>
                  </w:r>
                </w:p>
              </w:tc>
              <w:tc>
                <w:tcPr>
                  <w:tcW w:w="1782" w:type="dxa"/>
                  <w:vMerge w:val="restart"/>
                  <w:vAlign w:val="center"/>
                </w:tcPr>
                <w:p>
                  <w:pPr>
                    <w:keepNext/>
                    <w:keepLines/>
                    <w:spacing w:after="0"/>
                    <w:jc w:val="center"/>
                    <w:rPr>
                      <w:sz w:val="18"/>
                    </w:rPr>
                  </w:pPr>
                  <w:r>
                    <w:rPr>
                      <w:rFonts w:ascii="Arial" w:hAnsi="Arial"/>
                      <w:sz w:val="16"/>
                    </w:rPr>
                    <w:t>120</w:t>
                  </w: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r>
                    <w:rPr>
                      <w:rFonts w:ascii="Arial" w:hAnsi="Arial"/>
                      <w:sz w:val="16"/>
                    </w:rPr>
                    <w:t>[3.5]*64*T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120</w:t>
                  </w:r>
                </w:p>
              </w:tc>
              <w:tc>
                <w:tcPr>
                  <w:tcW w:w="2117" w:type="dxa"/>
                </w:tcPr>
                <w:p>
                  <w:pPr>
                    <w:keepNext/>
                    <w:keepLines/>
                    <w:spacing w:after="0"/>
                    <w:jc w:val="center"/>
                    <w:rPr>
                      <w:sz w:val="18"/>
                    </w:rPr>
                  </w:pPr>
                  <w:r>
                    <w:rPr>
                      <w:rFonts w:ascii="Arial" w:hAnsi="Arial"/>
                      <w:sz w:val="16"/>
                    </w:rPr>
                    <w:t>[3.5]*64*T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restart"/>
                  <w:vAlign w:val="center"/>
                </w:tcPr>
                <w:p>
                  <w:pPr>
                    <w:keepNext/>
                    <w:keepLines/>
                    <w:spacing w:after="0"/>
                    <w:jc w:val="center"/>
                    <w:rPr>
                      <w:sz w:val="18"/>
                    </w:rPr>
                  </w:pPr>
                  <w:r>
                    <w:rPr>
                      <w:rFonts w:ascii="Arial" w:hAnsi="Arial"/>
                      <w:sz w:val="16"/>
                    </w:rPr>
                    <w:t>240</w:t>
                  </w: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bookmarkStart w:id="3" w:name="OLE_LINK4"/>
                  <w:bookmarkStart w:id="4" w:name="OLE_LINK3"/>
                  <w:r>
                    <w:rPr>
                      <w:rFonts w:ascii="Arial" w:hAnsi="Arial"/>
                      <w:sz w:val="16"/>
                    </w:rPr>
                    <w:t>[3]*64*T</w:t>
                  </w:r>
                  <w:r>
                    <w:rPr>
                      <w:rFonts w:ascii="Arial" w:hAnsi="Arial"/>
                      <w:sz w:val="16"/>
                      <w:vertAlign w:val="subscript"/>
                    </w:rPr>
                    <w:t>c</w:t>
                  </w:r>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tcPr>
                <w:p>
                  <w:pPr>
                    <w:keepNext/>
                    <w:keepLines/>
                    <w:spacing w:after="0"/>
                    <w:jc w:val="center"/>
                    <w:rPr>
                      <w:sz w:val="18"/>
                    </w:rPr>
                  </w:pPr>
                </w:p>
              </w:tc>
              <w:tc>
                <w:tcPr>
                  <w:tcW w:w="1782" w:type="dxa"/>
                  <w:vMerge w:val="continue"/>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120</w:t>
                  </w:r>
                </w:p>
              </w:tc>
              <w:tc>
                <w:tcPr>
                  <w:tcW w:w="2117" w:type="dxa"/>
                </w:tcPr>
                <w:p>
                  <w:pPr>
                    <w:keepNext/>
                    <w:keepLines/>
                    <w:spacing w:after="0"/>
                    <w:jc w:val="center"/>
                    <w:rPr>
                      <w:sz w:val="18"/>
                    </w:rPr>
                  </w:pPr>
                  <w:r>
                    <w:rPr>
                      <w:rFonts w:ascii="Arial" w:hAnsi="Arial"/>
                      <w:sz w:val="16"/>
                    </w:rPr>
                    <w:t>[3]*64*T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162" w:type="dxa"/>
                  <w:gridSpan w:val="4"/>
                </w:tcPr>
                <w:p>
                  <w:pPr>
                    <w:keepNext/>
                    <w:keepLines/>
                    <w:spacing w:after="0"/>
                    <w:ind w:left="851" w:hanging="851"/>
                    <w:rPr>
                      <w:sz w:val="18"/>
                    </w:rPr>
                  </w:pPr>
                  <w:r>
                    <w:rPr>
                      <w:rFonts w:ascii="Arial" w:hAnsi="Arial" w:cs="Arial"/>
                      <w:sz w:val="16"/>
                    </w:rPr>
                    <w:t>Note</w:t>
                  </w:r>
                  <w:r>
                    <w:rPr>
                      <w:rFonts w:ascii="Arial" w:hAnsi="Arial"/>
                      <w:sz w:val="16"/>
                    </w:rPr>
                    <w:t xml:space="preserve"> 1:</w:t>
                  </w:r>
                  <w:r>
                    <w:rPr>
                      <w:rFonts w:ascii="Arial" w:hAnsi="Arial"/>
                      <w:sz w:val="16"/>
                    </w:rPr>
                    <w:tab/>
                  </w:r>
                  <w:r>
                    <w:rPr>
                      <w:rFonts w:ascii="Arial" w:hAnsi="Arial"/>
                      <w:sz w:val="16"/>
                    </w:rPr>
                    <w:t>T</w:t>
                  </w:r>
                  <w:r>
                    <w:rPr>
                      <w:rFonts w:ascii="Arial" w:hAnsi="Arial"/>
                      <w:sz w:val="16"/>
                      <w:vertAlign w:val="subscript"/>
                    </w:rPr>
                    <w:t>c</w:t>
                  </w:r>
                  <w:r>
                    <w:rPr>
                      <w:rFonts w:ascii="Arial" w:hAnsi="Arial"/>
                      <w:sz w:val="16"/>
                    </w:rPr>
                    <w:t xml:space="preserve"> is the basic timing unit defined in TS 38.211 [6]</w:t>
                  </w:r>
                </w:p>
                <w:p>
                  <w:pPr>
                    <w:keepNext/>
                    <w:keepLines/>
                    <w:spacing w:after="0"/>
                    <w:ind w:left="851" w:hanging="851"/>
                    <w:rPr>
                      <w:sz w:val="18"/>
                    </w:rPr>
                  </w:pPr>
                </w:p>
                <w:p>
                  <w:pPr>
                    <w:keepNext/>
                    <w:keepLines/>
                    <w:spacing w:after="0"/>
                    <w:rPr>
                      <w:sz w:val="18"/>
                    </w:rPr>
                  </w:pPr>
                  <w:r>
                    <w:rPr>
                      <w:rFonts w:ascii="Arial" w:hAnsi="Arial"/>
                      <w:sz w:val="16"/>
                    </w:rPr>
                    <w:t>Editor’s note: The final values of T</w:t>
                  </w:r>
                  <w:r>
                    <w:rPr>
                      <w:rFonts w:ascii="Arial" w:hAnsi="Arial"/>
                      <w:sz w:val="16"/>
                      <w:vertAlign w:val="subscript"/>
                    </w:rPr>
                    <w:t>e</w:t>
                  </w:r>
                  <w:r>
                    <w:rPr>
                      <w:rFonts w:ascii="Arial" w:hAnsi="Arial"/>
                      <w:sz w:val="16"/>
                    </w:rPr>
                    <w:t xml:space="preserve"> for 120KHz SSB SCS are subject to further discussions in further meeting, and may not be outside 3*64*T</w:t>
                  </w:r>
                  <w:r>
                    <w:rPr>
                      <w:rFonts w:ascii="Arial" w:hAnsi="Arial"/>
                      <w:sz w:val="16"/>
                      <w:vertAlign w:val="subscript"/>
                    </w:rPr>
                    <w:t>c</w:t>
                  </w:r>
                  <w:r>
                    <w:rPr>
                      <w:rFonts w:ascii="Arial" w:hAnsi="Arial"/>
                      <w:sz w:val="16"/>
                    </w:rPr>
                    <w:t xml:space="preserve"> to 3.5*64*T</w:t>
                  </w:r>
                  <w:r>
                    <w:rPr>
                      <w:rFonts w:ascii="Arial" w:hAnsi="Arial"/>
                      <w:sz w:val="16"/>
                      <w:vertAlign w:val="subscript"/>
                    </w:rPr>
                    <w:t>c</w:t>
                  </w:r>
                  <w:r>
                    <w:rPr>
                      <w:rFonts w:ascii="Arial" w:hAnsi="Arial"/>
                      <w:sz w:val="16"/>
                    </w:rPr>
                    <w:t>.</w:t>
                  </w:r>
                </w:p>
              </w:tc>
            </w:tr>
          </w:tbl>
          <w:p>
            <w:pPr>
              <w:rPr>
                <w:snapToGrid w:val="0"/>
                <w:sz w:val="18"/>
              </w:rPr>
            </w:pPr>
          </w:p>
          <w:p>
            <w:pPr>
              <w:pStyle w:val="4"/>
              <w:numPr>
                <w:ilvl w:val="0"/>
                <w:numId w:val="0"/>
              </w:numPr>
              <w:ind w:left="720" w:hanging="720"/>
              <w:rPr>
                <w:lang w:eastAsia="zh-CN"/>
              </w:rPr>
            </w:pPr>
            <w:r>
              <w:rPr>
                <w:lang w:eastAsia="zh-CN"/>
              </w:rPr>
              <w:t xml:space="preserve">3.2.5 </w:t>
            </w:r>
            <w:r>
              <w:rPr>
                <w:szCs w:val="22"/>
                <w:lang w:eastAsia="zh-CN"/>
              </w:rPr>
              <w:t>UE reception timing error (TE</w:t>
            </w:r>
            <w:r>
              <w:rPr>
                <w:szCs w:val="22"/>
                <w:vertAlign w:val="subscript"/>
                <w:lang w:eastAsia="zh-CN"/>
              </w:rPr>
              <w:t>UE-DL-RX</w:t>
            </w:r>
            <w:r>
              <w:rPr>
                <w:szCs w:val="22"/>
                <w:lang w:eastAsia="zh-CN"/>
              </w:rPr>
              <w:t>)</w:t>
            </w:r>
          </w:p>
          <w:p>
            <w:pPr>
              <w:rPr>
                <w:szCs w:val="22"/>
              </w:rPr>
            </w:pPr>
            <w:r>
              <w:rPr>
                <w:szCs w:val="22"/>
              </w:rPr>
              <w:t xml:space="preserve">The achievable synchronization accuracy will be very much dependent on the (bandwidth of the) used reference signal and the possible related time domain resolution in the estimation process. For FR1 and 30kHz SCS, the t-sync accuracy based on PSS/SSS will be in principle limited to about ±8Ts (~260ns) whereas for PBCH DM-RS the limitation is reduced to ~130ns. </w:t>
            </w:r>
          </w:p>
          <w:p>
            <w:pPr>
              <w:rPr>
                <w:szCs w:val="22"/>
              </w:rPr>
            </w:pPr>
          </w:p>
          <w:p>
            <w:pPr>
              <w:pStyle w:val="4"/>
              <w:numPr>
                <w:ilvl w:val="0"/>
                <w:numId w:val="0"/>
              </w:numPr>
              <w:ind w:left="720" w:hanging="720"/>
              <w:rPr>
                <w:lang w:eastAsia="zh-CN"/>
              </w:rPr>
            </w:pPr>
            <w:r>
              <w:rPr>
                <w:lang w:eastAsia="zh-CN"/>
              </w:rPr>
              <w:t>3.2.6 gNB UL receive timing estimation error (TE</w:t>
            </w:r>
            <w:r>
              <w:rPr>
                <w:vertAlign w:val="subscript"/>
                <w:lang w:eastAsia="zh-CN"/>
              </w:rPr>
              <w:t>UL-RX</w:t>
            </w:r>
            <w:r>
              <w:rPr>
                <w:lang w:eastAsia="zh-CN"/>
              </w:rPr>
              <w:t>)</w:t>
            </w:r>
          </w:p>
          <w:p>
            <w:pPr>
              <w:rPr>
                <w:szCs w:val="22"/>
              </w:rPr>
            </w:pPr>
            <w:r>
              <w:rPr>
                <w:szCs w:val="22"/>
              </w:rPr>
              <w:t xml:space="preserve">The UL receive timing of UE can be estimated at gNB based on any UL reference signal, such as PUSCH DM-RS, PUCCH DM-RS, or SRS. In applications such as closed-loop motion control, we may assume that PUSCH will be available in each motion control cycle. </w:t>
            </w:r>
          </w:p>
          <w:p>
            <w:pPr>
              <w:rPr>
                <w:sz w:val="18"/>
                <w:szCs w:val="18"/>
              </w:rPr>
            </w:pPr>
            <w:r>
              <w:t xml:space="preserve">Here we analyse the error of short-term, single-shot UL receive timing estimation on PUSCH. The short-term UL receive timing estimation error on PUSCH consists of two components: CIR peak detection error and error due to time sample granularity.  </w:t>
            </w:r>
          </w:p>
          <w:p>
            <w:pPr>
              <w:rPr>
                <w:szCs w:val="22"/>
              </w:rPr>
            </w:pPr>
            <w:r>
              <w:t>The peak detection error is determined based on simulations and shown below, expressed as the deviation from the true TO in terms of number of FFT samples. The simulations results shown in Figure 3.2-1 assume 5.4 GHz carrier frequency, AWGN channel, and 2Tx2Rx. The results show close to perfect detection for a larger PUSCH allocation of #PRB≥64. For a very small PUSCH allocation of 4 PRBs and low SNR, e.g. -5 dB ≤ SNR ≤ 0 dB, the detection error is in the order of ~±5 time samples, e.g. ~±5·64∙T</w:t>
            </w:r>
            <w:r>
              <w:rPr>
                <w:vertAlign w:val="subscript"/>
              </w:rPr>
              <w:t>c</w:t>
            </w:r>
            <w:r>
              <w:t>/2</w:t>
            </w:r>
            <w:r>
              <w:rPr>
                <w:vertAlign w:val="superscript"/>
              </w:rPr>
              <w:t>μ</w:t>
            </w:r>
            <w:r>
              <w:t xml:space="preserve"> corresponding to ~±160ns for 15kHz SCS. Specifically, for highly-reliable communication in the low SNR regime a larger PRB allocation is needed to support low MCS and therefore, we think that the higher PRB allocations are more typical in this respect. </w:t>
            </w:r>
          </w:p>
          <w:p>
            <w:pPr>
              <w:rPr>
                <w:szCs w:val="22"/>
              </w:rPr>
            </w:pPr>
          </w:p>
          <w:p>
            <w:pPr>
              <w:pStyle w:val="4"/>
              <w:numPr>
                <w:ilvl w:val="0"/>
                <w:numId w:val="0"/>
              </w:numPr>
              <w:ind w:left="720" w:hanging="720"/>
              <w:rPr>
                <w:lang w:eastAsia="zh-CN"/>
              </w:rPr>
            </w:pPr>
            <w:r>
              <w:rPr>
                <w:lang w:eastAsia="zh-CN"/>
              </w:rPr>
              <w:t>3.2.7 Timing advance adjustment granularity (TE</w:t>
            </w:r>
            <w:r>
              <w:rPr>
                <w:vertAlign w:val="subscript"/>
                <w:lang w:eastAsia="zh-CN"/>
              </w:rPr>
              <w:t>TA-G</w:t>
            </w:r>
            <w:r>
              <w:rPr>
                <w:lang w:eastAsia="zh-CN"/>
              </w:rPr>
              <w:t>)</w:t>
            </w:r>
          </w:p>
          <w:p>
            <w:r>
              <w:t>The timing adjustment granularity (as specified in 38.213 Sec. 4.2) is dependent on the applied SCS and is defined as 16∙64∙T</w:t>
            </w:r>
            <w:r>
              <w:rPr>
                <w:vertAlign w:val="subscript"/>
              </w:rPr>
              <w:t>c</w:t>
            </w:r>
            <w:r>
              <w:t>/2</w:t>
            </w:r>
            <w:r>
              <w:rPr>
                <w:vertAlign w:val="superscript"/>
              </w:rPr>
              <w:t>μ</w:t>
            </w:r>
            <w:r>
              <w:t>. The quantization error is half the indication granularity, meaning that the maximum error is given by:</w:t>
            </w:r>
          </w:p>
          <w:p>
            <w:pPr>
              <w:jc w:val="center"/>
              <w:rPr>
                <w:szCs w:val="22"/>
              </w:rPr>
            </w:pPr>
            <w:r>
              <w:rPr>
                <w:szCs w:val="22"/>
              </w:rPr>
              <w:t>TE</w:t>
            </w:r>
            <w:r>
              <w:rPr>
                <w:szCs w:val="22"/>
                <w:vertAlign w:val="subscript"/>
              </w:rPr>
              <w:t>TA-G</w:t>
            </w:r>
            <w:r>
              <w:rPr>
                <w:szCs w:val="22"/>
              </w:rPr>
              <w:t>=8∙64∙T</w:t>
            </w:r>
            <w:r>
              <w:rPr>
                <w:szCs w:val="22"/>
                <w:vertAlign w:val="subscript"/>
              </w:rPr>
              <w:t>c</w:t>
            </w:r>
            <w:r>
              <w:rPr>
                <w:szCs w:val="22"/>
              </w:rPr>
              <w:t>/2</w:t>
            </w:r>
            <w:r>
              <w:rPr>
                <w:szCs w:val="22"/>
                <w:vertAlign w:val="superscript"/>
              </w:rPr>
              <w:t>μ</w:t>
            </w:r>
          </w:p>
          <w:p>
            <w:pPr>
              <w:rPr>
                <w:szCs w:val="22"/>
              </w:rPr>
            </w:pPr>
            <w:r>
              <w:rPr>
                <w:szCs w:val="22"/>
              </w:rPr>
              <w:t>Specifically, for lower SCS values such as 15kHz the TE</w:t>
            </w:r>
            <w:r>
              <w:rPr>
                <w:szCs w:val="22"/>
                <w:vertAlign w:val="subscript"/>
              </w:rPr>
              <w:t>TA-G,15kHz</w:t>
            </w:r>
            <w:r>
              <w:rPr>
                <w:szCs w:val="22"/>
              </w:rPr>
              <w:t>=260ns which will take a large part of the UE timing accuracy budget of 1μs (13%) whereas for higher SCS such as 120kHz this contribution will play only have a minor effect (TE</w:t>
            </w:r>
            <w:r>
              <w:rPr>
                <w:szCs w:val="22"/>
                <w:vertAlign w:val="subscript"/>
              </w:rPr>
              <w:t>TA-G,120kHz</w:t>
            </w:r>
            <w:r>
              <w:rPr>
                <w:szCs w:val="22"/>
              </w:rPr>
              <w:t xml:space="preserve">=32ns). </w:t>
            </w:r>
          </w:p>
          <w:p>
            <w:pPr>
              <w:rPr>
                <w:szCs w:val="22"/>
              </w:rPr>
            </w:pPr>
          </w:p>
          <w:p>
            <w:pPr>
              <w:pStyle w:val="4"/>
              <w:numPr>
                <w:ilvl w:val="0"/>
                <w:numId w:val="0"/>
              </w:numPr>
              <w:ind w:left="720" w:hanging="720"/>
              <w:rPr>
                <w:lang w:eastAsia="zh-CN"/>
              </w:rPr>
            </w:pPr>
            <w:r>
              <w:rPr>
                <w:lang w:eastAsia="zh-CN"/>
              </w:rPr>
              <w:t>3.2.8 Relative Timing Advance adjustment accuracy (TE</w:t>
            </w:r>
            <w:r>
              <w:rPr>
                <w:vertAlign w:val="subscript"/>
                <w:lang w:eastAsia="zh-CN"/>
              </w:rPr>
              <w:t>TA-err</w:t>
            </w:r>
            <w:r>
              <w:rPr>
                <w:lang w:eastAsia="zh-CN"/>
              </w:rPr>
              <w:t>)</w:t>
            </w:r>
          </w:p>
          <w:p>
            <w:pPr>
              <w:rPr>
                <w:szCs w:val="22"/>
              </w:rPr>
            </w:pPr>
            <w:r>
              <w:rPr>
                <w:szCs w:val="22"/>
              </w:rPr>
              <w:t xml:space="preserve">The maximum allowed values are specified in TS 38.133 Sec. 7.3.2.2 in the following table: </w:t>
            </w:r>
          </w:p>
          <w:p>
            <w:pPr>
              <w:pStyle w:val="80"/>
              <w:rPr>
                <w:sz w:val="18"/>
                <w:lang w:val="en-US"/>
              </w:rPr>
            </w:pPr>
            <w:r>
              <w:rPr>
                <w:sz w:val="18"/>
              </w:rPr>
              <w:t>Table 7.3.2.2-</w:t>
            </w:r>
            <w:r>
              <w:rPr>
                <w:sz w:val="18"/>
                <w:lang w:eastAsia="ja-JP"/>
              </w:rPr>
              <w:t>1</w:t>
            </w:r>
            <w:r>
              <w:rPr>
                <w:sz w:val="18"/>
              </w:rPr>
              <w:t xml:space="preserve">: </w:t>
            </w:r>
            <w:r>
              <w:rPr>
                <w:sz w:val="18"/>
                <w:lang w:eastAsia="ja-JP"/>
              </w:rPr>
              <w:t>UE Timing Advance adjustment accuracy</w:t>
            </w:r>
          </w:p>
          <w:tbl>
            <w:tblPr>
              <w:tblStyle w:val="26"/>
              <w:tblW w:w="63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2260" w:type="dxa"/>
                  <w:shd w:val="clear" w:color="auto" w:fill="auto"/>
                </w:tcPr>
                <w:p>
                  <w:pPr>
                    <w:pStyle w:val="85"/>
                    <w:rPr>
                      <w:sz w:val="16"/>
                    </w:rPr>
                  </w:pPr>
                  <w:r>
                    <w:rPr>
                      <w:sz w:val="16"/>
                    </w:rPr>
                    <w:t>Sub Carrier Spacing, SCS kHz</w:t>
                  </w:r>
                </w:p>
              </w:tc>
              <w:tc>
                <w:tcPr>
                  <w:tcW w:w="982" w:type="dxa"/>
                  <w:shd w:val="clear" w:color="auto" w:fill="auto"/>
                  <w:vAlign w:val="center"/>
                </w:tcPr>
                <w:p>
                  <w:pPr>
                    <w:pStyle w:val="85"/>
                    <w:rPr>
                      <w:sz w:val="16"/>
                      <w:lang w:val="en-US"/>
                    </w:rPr>
                  </w:pPr>
                  <w:r>
                    <w:rPr>
                      <w:sz w:val="16"/>
                    </w:rPr>
                    <w:t>15</w:t>
                  </w:r>
                </w:p>
              </w:tc>
              <w:tc>
                <w:tcPr>
                  <w:tcW w:w="1002" w:type="dxa"/>
                  <w:shd w:val="clear" w:color="auto" w:fill="auto"/>
                  <w:vAlign w:val="center"/>
                </w:tcPr>
                <w:p>
                  <w:pPr>
                    <w:pStyle w:val="85"/>
                    <w:rPr>
                      <w:sz w:val="16"/>
                      <w:lang w:val="en-US"/>
                    </w:rPr>
                  </w:pPr>
                  <w:r>
                    <w:rPr>
                      <w:sz w:val="16"/>
                    </w:rPr>
                    <w:t>30</w:t>
                  </w:r>
                </w:p>
              </w:tc>
              <w:tc>
                <w:tcPr>
                  <w:tcW w:w="992" w:type="dxa"/>
                  <w:shd w:val="clear" w:color="auto" w:fill="auto"/>
                  <w:vAlign w:val="center"/>
                </w:tcPr>
                <w:p>
                  <w:pPr>
                    <w:pStyle w:val="85"/>
                    <w:rPr>
                      <w:sz w:val="16"/>
                      <w:lang w:val="en-US"/>
                    </w:rPr>
                  </w:pPr>
                  <w:r>
                    <w:rPr>
                      <w:sz w:val="16"/>
                    </w:rPr>
                    <w:t>60</w:t>
                  </w:r>
                </w:p>
              </w:tc>
              <w:tc>
                <w:tcPr>
                  <w:tcW w:w="1134" w:type="dxa"/>
                  <w:shd w:val="clear" w:color="auto" w:fill="auto"/>
                  <w:vAlign w:val="center"/>
                </w:tcPr>
                <w:p>
                  <w:pPr>
                    <w:pStyle w:val="85"/>
                    <w:rPr>
                      <w:sz w:val="16"/>
                      <w:lang w:val="en-US"/>
                    </w:rPr>
                  </w:pPr>
                  <w:r>
                    <w:rPr>
                      <w:sz w:val="16"/>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260" w:type="dxa"/>
                  <w:shd w:val="clear" w:color="auto" w:fill="auto"/>
                </w:tcPr>
                <w:p>
                  <w:pPr>
                    <w:pStyle w:val="85"/>
                    <w:rPr>
                      <w:sz w:val="16"/>
                    </w:rPr>
                  </w:pPr>
                  <w:r>
                    <w:rPr>
                      <w:sz w:val="16"/>
                    </w:rPr>
                    <w:t>UE Timing Advance adjustment accuracy</w:t>
                  </w:r>
                </w:p>
              </w:tc>
              <w:tc>
                <w:tcPr>
                  <w:tcW w:w="982" w:type="dxa"/>
                  <w:shd w:val="clear" w:color="auto" w:fill="auto"/>
                  <w:vAlign w:val="center"/>
                </w:tcPr>
                <w:p>
                  <w:pPr>
                    <w:pStyle w:val="50"/>
                    <w:rPr>
                      <w:sz w:val="16"/>
                      <w:lang w:val="en-US"/>
                    </w:rPr>
                  </w:pPr>
                  <w:r>
                    <w:rPr>
                      <w:sz w:val="16"/>
                      <w:szCs w:val="22"/>
                      <w:lang w:val="en-US"/>
                    </w:rPr>
                    <w:t>±</w:t>
                  </w:r>
                  <w:r>
                    <w:rPr>
                      <w:sz w:val="16"/>
                    </w:rPr>
                    <w:t>256 T</w:t>
                  </w:r>
                  <w:r>
                    <w:rPr>
                      <w:sz w:val="16"/>
                      <w:vertAlign w:val="subscript"/>
                    </w:rPr>
                    <w:t>c</w:t>
                  </w:r>
                </w:p>
              </w:tc>
              <w:tc>
                <w:tcPr>
                  <w:tcW w:w="1002" w:type="dxa"/>
                  <w:shd w:val="clear" w:color="auto" w:fill="auto"/>
                  <w:vAlign w:val="center"/>
                </w:tcPr>
                <w:p>
                  <w:pPr>
                    <w:pStyle w:val="50"/>
                    <w:rPr>
                      <w:sz w:val="16"/>
                      <w:lang w:val="en-US"/>
                    </w:rPr>
                  </w:pPr>
                  <w:r>
                    <w:rPr>
                      <w:sz w:val="16"/>
                      <w:szCs w:val="22"/>
                      <w:lang w:val="en-US"/>
                    </w:rPr>
                    <w:t>±</w:t>
                  </w:r>
                  <w:r>
                    <w:rPr>
                      <w:sz w:val="16"/>
                    </w:rPr>
                    <w:t>256 T</w:t>
                  </w:r>
                  <w:r>
                    <w:rPr>
                      <w:sz w:val="16"/>
                      <w:vertAlign w:val="subscript"/>
                    </w:rPr>
                    <w:t>c</w:t>
                  </w:r>
                </w:p>
              </w:tc>
              <w:tc>
                <w:tcPr>
                  <w:tcW w:w="992" w:type="dxa"/>
                  <w:shd w:val="clear" w:color="auto" w:fill="auto"/>
                  <w:vAlign w:val="center"/>
                </w:tcPr>
                <w:p>
                  <w:pPr>
                    <w:pStyle w:val="50"/>
                    <w:rPr>
                      <w:sz w:val="16"/>
                      <w:lang w:val="en-US"/>
                    </w:rPr>
                  </w:pPr>
                  <w:r>
                    <w:rPr>
                      <w:sz w:val="16"/>
                      <w:szCs w:val="22"/>
                      <w:lang w:val="en-US"/>
                    </w:rPr>
                    <w:t>±</w:t>
                  </w:r>
                  <w:r>
                    <w:rPr>
                      <w:sz w:val="16"/>
                    </w:rPr>
                    <w:t>128 T</w:t>
                  </w:r>
                  <w:r>
                    <w:rPr>
                      <w:sz w:val="16"/>
                      <w:vertAlign w:val="subscript"/>
                    </w:rPr>
                    <w:t>c</w:t>
                  </w:r>
                </w:p>
              </w:tc>
              <w:tc>
                <w:tcPr>
                  <w:tcW w:w="1134" w:type="dxa"/>
                  <w:shd w:val="clear" w:color="auto" w:fill="auto"/>
                  <w:vAlign w:val="center"/>
                </w:tcPr>
                <w:p>
                  <w:pPr>
                    <w:pStyle w:val="50"/>
                    <w:rPr>
                      <w:sz w:val="16"/>
                      <w:lang w:val="en-US"/>
                    </w:rPr>
                  </w:pPr>
                  <w:r>
                    <w:rPr>
                      <w:sz w:val="16"/>
                      <w:szCs w:val="22"/>
                      <w:lang w:val="en-US"/>
                    </w:rPr>
                    <w:t>±</w:t>
                  </w:r>
                  <w:r>
                    <w:rPr>
                      <w:sz w:val="16"/>
                    </w:rPr>
                    <w:t>32 T</w:t>
                  </w:r>
                  <w:r>
                    <w:rPr>
                      <w:sz w:val="16"/>
                      <w:vertAlign w:val="subscript"/>
                    </w:rPr>
                    <w:t>c</w:t>
                  </w:r>
                </w:p>
              </w:tc>
            </w:tr>
          </w:tbl>
          <w:p/>
        </w:tc>
      </w:tr>
    </w:tbl>
    <w:p>
      <w:pPr>
        <w:spacing w:afterLines="50" w:line="240" w:lineRule="auto"/>
        <w:jc w:val="left"/>
      </w:pPr>
    </w:p>
    <w:p>
      <w:pPr>
        <w:pStyle w:val="2"/>
        <w:spacing w:before="180" w:line="240" w:lineRule="auto"/>
        <w:ind w:left="0" w:firstLine="0"/>
        <w:jc w:val="left"/>
      </w:pPr>
      <w:r>
        <w:t>Annex</w:t>
      </w:r>
    </w:p>
    <w:p>
      <w:pPr>
        <w:spacing w:afterLines="50"/>
        <w:jc w:val="left"/>
      </w:pPr>
      <w:r>
        <w:t>The following requirements are extracted from the TR 22.104:</w:t>
      </w:r>
    </w:p>
    <w:tbl>
      <w:tblPr>
        <w:tblStyle w:val="27"/>
        <w:tblW w:w="1091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15" w:type="dxa"/>
          </w:tcPr>
          <w:p>
            <w:pPr>
              <w:pStyle w:val="4"/>
              <w:numPr>
                <w:ilvl w:val="0"/>
                <w:numId w:val="0"/>
              </w:numPr>
              <w:ind w:left="720" w:hanging="720"/>
              <w:rPr>
                <w:rFonts w:eastAsia="MS Mincho"/>
              </w:rPr>
            </w:pPr>
            <w:bookmarkStart w:id="5" w:name="_Toc531683388"/>
            <w:r>
              <w:rPr>
                <w:rFonts w:eastAsia="MS Mincho"/>
              </w:rPr>
              <w:t>5.6.2</w:t>
            </w:r>
            <w:r>
              <w:rPr>
                <w:rFonts w:eastAsia="MS Mincho"/>
              </w:rPr>
              <w:tab/>
            </w:r>
            <w:r>
              <w:rPr>
                <w:rFonts w:eastAsia="MS Mincho"/>
              </w:rPr>
              <w:t>Clock synchronisation service performance requirements</w:t>
            </w:r>
            <w:bookmarkEnd w:id="5"/>
          </w:p>
          <w:p>
            <w:pPr>
              <w:pStyle w:val="80"/>
              <w:rPr>
                <w:rFonts w:eastAsia="MS Mincho"/>
              </w:rPr>
            </w:pPr>
            <w:r>
              <w:rPr>
                <w:rFonts w:eastAsia="MS Mincho"/>
              </w:rPr>
              <w:t>Table 5.6.2-1: Clock synchronization service performance requirements</w:t>
            </w:r>
          </w:p>
          <w:tbl>
            <w:tblPr>
              <w:tblStyle w:val="26"/>
              <w:tblW w:w="114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2836"/>
              <w:gridCol w:w="2028"/>
              <w:gridCol w:w="1897"/>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1" w:type="dxa"/>
                  <w:shd w:val="clear" w:color="auto" w:fill="auto"/>
                </w:tcPr>
                <w:p>
                  <w:pPr>
                    <w:pStyle w:val="85"/>
                    <w:rPr>
                      <w:lang w:eastAsia="en-GB"/>
                    </w:rPr>
                  </w:pPr>
                  <w:r>
                    <w:rPr>
                      <w:lang w:eastAsia="en-GB"/>
                    </w:rPr>
                    <w:t xml:space="preserve">User-specific clock synchronicity accuracy level </w:t>
                  </w:r>
                </w:p>
              </w:tc>
              <w:tc>
                <w:tcPr>
                  <w:tcW w:w="2836" w:type="dxa"/>
                  <w:shd w:val="clear" w:color="auto" w:fill="auto"/>
                </w:tcPr>
                <w:p>
                  <w:pPr>
                    <w:pStyle w:val="85"/>
                    <w:rPr>
                      <w:lang w:eastAsia="en-GB"/>
                    </w:rPr>
                  </w:pPr>
                  <w:r>
                    <w:rPr>
                      <w:lang w:eastAsia="en-GB"/>
                    </w:rPr>
                    <w:t>Number of devices in one Communication group for clock synchronisation</w:t>
                  </w:r>
                </w:p>
              </w:tc>
              <w:tc>
                <w:tcPr>
                  <w:tcW w:w="2028" w:type="dxa"/>
                  <w:shd w:val="clear" w:color="auto" w:fill="auto"/>
                </w:tcPr>
                <w:p>
                  <w:pPr>
                    <w:pStyle w:val="85"/>
                    <w:rPr>
                      <w:lang w:eastAsia="en-GB"/>
                    </w:rPr>
                  </w:pPr>
                  <w:r>
                    <w:rPr>
                      <w:lang w:eastAsia="en-GB"/>
                    </w:rPr>
                    <w:t xml:space="preserve">Clock synchronicity requirement </w:t>
                  </w:r>
                </w:p>
              </w:tc>
              <w:tc>
                <w:tcPr>
                  <w:tcW w:w="1897" w:type="dxa"/>
                </w:tcPr>
                <w:p>
                  <w:pPr>
                    <w:pStyle w:val="85"/>
                    <w:rPr>
                      <w:lang w:eastAsia="en-GB"/>
                    </w:rPr>
                  </w:pPr>
                  <w:r>
                    <w:rPr>
                      <w:lang w:eastAsia="en-GB"/>
                    </w:rPr>
                    <w:t xml:space="preserve">Service area </w:t>
                  </w:r>
                </w:p>
              </w:tc>
              <w:tc>
                <w:tcPr>
                  <w:tcW w:w="2632" w:type="dxa"/>
                  <w:shd w:val="clear" w:color="auto" w:fill="auto"/>
                </w:tcPr>
                <w:p>
                  <w:pPr>
                    <w:pStyle w:val="85"/>
                    <w:rPr>
                      <w:lang w:eastAsia="en-GB"/>
                    </w:rPr>
                  </w:pPr>
                  <w:r>
                    <w:rPr>
                      <w:lang w:eastAsia="en-GB"/>
                    </w:rPr>
                    <w:t>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1" w:type="dxa"/>
                  <w:shd w:val="clear" w:color="auto" w:fill="auto"/>
                </w:tcPr>
                <w:p>
                  <w:pPr>
                    <w:pStyle w:val="51"/>
                    <w:ind w:firstLine="440"/>
                    <w:rPr>
                      <w:szCs w:val="24"/>
                    </w:rPr>
                  </w:pPr>
                  <w:r>
                    <w:rPr>
                      <w:szCs w:val="24"/>
                    </w:rPr>
                    <w:t>1</w:t>
                  </w:r>
                </w:p>
              </w:tc>
              <w:tc>
                <w:tcPr>
                  <w:tcW w:w="2836" w:type="dxa"/>
                  <w:shd w:val="clear" w:color="auto" w:fill="auto"/>
                </w:tcPr>
                <w:p>
                  <w:pPr>
                    <w:pStyle w:val="51"/>
                    <w:ind w:firstLine="440"/>
                    <w:rPr>
                      <w:szCs w:val="24"/>
                    </w:rPr>
                  </w:pPr>
                  <w:r>
                    <w:rPr>
                      <w:szCs w:val="24"/>
                    </w:rPr>
                    <w:t>Up to 300 UEs</w:t>
                  </w:r>
                </w:p>
              </w:tc>
              <w:tc>
                <w:tcPr>
                  <w:tcW w:w="2028" w:type="dxa"/>
                  <w:shd w:val="clear" w:color="auto" w:fill="auto"/>
                </w:tcPr>
                <w:p>
                  <w:pPr>
                    <w:pStyle w:val="51"/>
                    <w:ind w:firstLine="440"/>
                    <w:rPr>
                      <w:szCs w:val="24"/>
                    </w:rPr>
                  </w:pPr>
                  <w:r>
                    <w:rPr>
                      <w:szCs w:val="24"/>
                    </w:rPr>
                    <w:t>&lt; 1 µs</w:t>
                  </w:r>
                </w:p>
              </w:tc>
              <w:tc>
                <w:tcPr>
                  <w:tcW w:w="1897" w:type="dxa"/>
                </w:tcPr>
                <w:p>
                  <w:pPr>
                    <w:pStyle w:val="51"/>
                    <w:ind w:firstLine="440"/>
                    <w:rPr>
                      <w:szCs w:val="24"/>
                    </w:rPr>
                  </w:pPr>
                  <w:r>
                    <w:rPr>
                      <w:szCs w:val="24"/>
                    </w:rPr>
                    <w:t>≤ 100 m x 100 m</w:t>
                  </w:r>
                </w:p>
              </w:tc>
              <w:tc>
                <w:tcPr>
                  <w:tcW w:w="2632" w:type="dxa"/>
                  <w:shd w:val="clear" w:color="auto" w:fill="auto"/>
                </w:tcPr>
                <w:p>
                  <w:pPr>
                    <w:pStyle w:val="51"/>
                    <w:numPr>
                      <w:ilvl w:val="0"/>
                      <w:numId w:val="11"/>
                    </w:numPr>
                    <w:overflowPunct w:val="0"/>
                    <w:autoSpaceDE w:val="0"/>
                    <w:autoSpaceDN w:val="0"/>
                    <w:adjustRightInd w:val="0"/>
                    <w:ind w:firstLine="440"/>
                    <w:textAlignment w:val="baseline"/>
                    <w:rPr>
                      <w:rFonts w:eastAsia="宋体"/>
                      <w:lang w:eastAsia="zh-CN"/>
                    </w:rPr>
                  </w:pPr>
                  <w:r>
                    <w:rPr>
                      <w:rFonts w:eastAsia="宋体"/>
                      <w:lang w:eastAsia="zh-CN"/>
                    </w:rPr>
                    <w:t>Motion control</w:t>
                  </w:r>
                </w:p>
                <w:p>
                  <w:pPr>
                    <w:pStyle w:val="51"/>
                    <w:numPr>
                      <w:ilvl w:val="0"/>
                      <w:numId w:val="11"/>
                    </w:numPr>
                    <w:overflowPunct w:val="0"/>
                    <w:autoSpaceDE w:val="0"/>
                    <w:autoSpaceDN w:val="0"/>
                    <w:adjustRightInd w:val="0"/>
                    <w:ind w:firstLine="440"/>
                    <w:textAlignment w:val="baseline"/>
                    <w:rPr>
                      <w:i/>
                      <w:iCs/>
                    </w:rPr>
                  </w:pPr>
                  <w:r>
                    <w:rPr>
                      <w:rFonts w:eastAsia="宋体"/>
                      <w:lang w:eastAsia="zh-CN"/>
                    </w:rPr>
                    <w:t>Control-to-control communication for industrial controller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1" w:type="dxa"/>
                  <w:shd w:val="clear" w:color="auto" w:fill="auto"/>
                </w:tcPr>
                <w:p>
                  <w:pPr>
                    <w:pStyle w:val="51"/>
                    <w:ind w:firstLine="440"/>
                    <w:rPr>
                      <w:szCs w:val="24"/>
                    </w:rPr>
                  </w:pPr>
                  <w:r>
                    <w:rPr>
                      <w:szCs w:val="24"/>
                    </w:rPr>
                    <w:t>2</w:t>
                  </w:r>
                </w:p>
              </w:tc>
              <w:tc>
                <w:tcPr>
                  <w:tcW w:w="2836" w:type="dxa"/>
                  <w:shd w:val="clear" w:color="auto" w:fill="auto"/>
                </w:tcPr>
                <w:p>
                  <w:pPr>
                    <w:pStyle w:val="51"/>
                    <w:ind w:firstLine="440"/>
                    <w:rPr>
                      <w:szCs w:val="24"/>
                    </w:rPr>
                  </w:pPr>
                  <w:r>
                    <w:rPr>
                      <w:szCs w:val="24"/>
                    </w:rPr>
                    <w:t>Up to 10 UEs</w:t>
                  </w:r>
                </w:p>
              </w:tc>
              <w:tc>
                <w:tcPr>
                  <w:tcW w:w="2028" w:type="dxa"/>
                  <w:shd w:val="clear" w:color="auto" w:fill="auto"/>
                </w:tcPr>
                <w:p>
                  <w:pPr>
                    <w:pStyle w:val="51"/>
                    <w:ind w:firstLine="440"/>
                    <w:rPr>
                      <w:szCs w:val="24"/>
                    </w:rPr>
                  </w:pPr>
                  <w:r>
                    <w:rPr>
                      <w:szCs w:val="24"/>
                    </w:rPr>
                    <w:t>&lt; 10 µs</w:t>
                  </w:r>
                </w:p>
              </w:tc>
              <w:tc>
                <w:tcPr>
                  <w:tcW w:w="1897" w:type="dxa"/>
                </w:tcPr>
                <w:p>
                  <w:pPr>
                    <w:pStyle w:val="51"/>
                    <w:ind w:firstLine="440"/>
                    <w:rPr>
                      <w:szCs w:val="24"/>
                    </w:rPr>
                  </w:pPr>
                  <w:r>
                    <w:rPr>
                      <w:szCs w:val="24"/>
                    </w:rPr>
                    <w:t>≤ 2500 m</w:t>
                  </w:r>
                  <w:r>
                    <w:rPr>
                      <w:szCs w:val="24"/>
                      <w:vertAlign w:val="superscript"/>
                    </w:rPr>
                    <w:t>2</w:t>
                  </w:r>
                </w:p>
              </w:tc>
              <w:tc>
                <w:tcPr>
                  <w:tcW w:w="2632" w:type="dxa"/>
                  <w:shd w:val="clear" w:color="auto" w:fill="auto"/>
                </w:tcPr>
                <w:p>
                  <w:pPr>
                    <w:pStyle w:val="51"/>
                    <w:numPr>
                      <w:ilvl w:val="0"/>
                      <w:numId w:val="11"/>
                    </w:numPr>
                    <w:overflowPunct w:val="0"/>
                    <w:autoSpaceDE w:val="0"/>
                    <w:autoSpaceDN w:val="0"/>
                    <w:adjustRightInd w:val="0"/>
                    <w:ind w:firstLine="440"/>
                    <w:textAlignment w:val="baseline"/>
                    <w:rPr>
                      <w:i/>
                      <w:iCs/>
                    </w:rPr>
                  </w:pPr>
                  <w:r>
                    <w:t>High data rate video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1" w:type="dxa"/>
                  <w:shd w:val="clear" w:color="auto" w:fill="auto"/>
                </w:tcPr>
                <w:p>
                  <w:pPr>
                    <w:pStyle w:val="51"/>
                    <w:ind w:firstLine="440"/>
                    <w:rPr>
                      <w:rFonts w:cs="Arial"/>
                      <w:szCs w:val="18"/>
                      <w:highlight w:val="yellow"/>
                    </w:rPr>
                  </w:pPr>
                  <w:r>
                    <w:rPr>
                      <w:rFonts w:cs="Arial"/>
                      <w:szCs w:val="18"/>
                      <w:highlight w:val="yellow"/>
                    </w:rPr>
                    <w:t>3</w:t>
                  </w:r>
                </w:p>
              </w:tc>
              <w:tc>
                <w:tcPr>
                  <w:tcW w:w="2836" w:type="dxa"/>
                  <w:shd w:val="clear" w:color="auto" w:fill="auto"/>
                </w:tcPr>
                <w:p>
                  <w:pPr>
                    <w:pStyle w:val="51"/>
                    <w:ind w:firstLine="440"/>
                    <w:rPr>
                      <w:rFonts w:cs="Arial"/>
                      <w:szCs w:val="18"/>
                      <w:highlight w:val="yellow"/>
                    </w:rPr>
                  </w:pPr>
                  <w:r>
                    <w:rPr>
                      <w:rFonts w:cs="Arial"/>
                      <w:szCs w:val="18"/>
                      <w:highlight w:val="yellow"/>
                    </w:rPr>
                    <w:t>Up to 100 UEs</w:t>
                  </w:r>
                </w:p>
              </w:tc>
              <w:tc>
                <w:tcPr>
                  <w:tcW w:w="2028" w:type="dxa"/>
                  <w:shd w:val="clear" w:color="auto" w:fill="auto"/>
                </w:tcPr>
                <w:p>
                  <w:pPr>
                    <w:pStyle w:val="51"/>
                    <w:ind w:firstLine="440"/>
                    <w:rPr>
                      <w:rFonts w:cs="Arial"/>
                      <w:szCs w:val="18"/>
                      <w:highlight w:val="yellow"/>
                    </w:rPr>
                  </w:pPr>
                  <w:r>
                    <w:rPr>
                      <w:rFonts w:cs="Arial"/>
                      <w:szCs w:val="18"/>
                      <w:highlight w:val="yellow"/>
                    </w:rPr>
                    <w:t>&lt; 1 µs</w:t>
                  </w:r>
                </w:p>
              </w:tc>
              <w:tc>
                <w:tcPr>
                  <w:tcW w:w="1897" w:type="dxa"/>
                </w:tcPr>
                <w:p>
                  <w:pPr>
                    <w:pStyle w:val="51"/>
                    <w:ind w:firstLine="440"/>
                    <w:rPr>
                      <w:rFonts w:eastAsia="微软雅黑" w:cs="Arial"/>
                      <w:color w:val="000000"/>
                      <w:szCs w:val="18"/>
                      <w:highlight w:val="yellow"/>
                    </w:rPr>
                  </w:pPr>
                  <w:r>
                    <w:rPr>
                      <w:rFonts w:eastAsia="微软雅黑" w:cs="Arial"/>
                      <w:color w:val="000000"/>
                      <w:szCs w:val="18"/>
                      <w:highlight w:val="yellow"/>
                    </w:rPr>
                    <w:t>&lt; 20 km</w:t>
                  </w:r>
                  <w:r>
                    <w:rPr>
                      <w:rFonts w:eastAsia="微软雅黑" w:cs="Arial"/>
                      <w:color w:val="000000"/>
                      <w:szCs w:val="18"/>
                      <w:highlight w:val="yellow"/>
                      <w:vertAlign w:val="superscript"/>
                    </w:rPr>
                    <w:t>2</w:t>
                  </w:r>
                </w:p>
              </w:tc>
              <w:tc>
                <w:tcPr>
                  <w:tcW w:w="2632" w:type="dxa"/>
                  <w:shd w:val="clear" w:color="auto" w:fill="auto"/>
                </w:tcPr>
                <w:p>
                  <w:pPr>
                    <w:pStyle w:val="51"/>
                    <w:keepLines w:val="0"/>
                    <w:numPr>
                      <w:ilvl w:val="0"/>
                      <w:numId w:val="11"/>
                    </w:numPr>
                    <w:ind w:firstLine="440"/>
                    <w:rPr>
                      <w:rFonts w:cs="Arial"/>
                      <w:szCs w:val="18"/>
                      <w:highlight w:val="yellow"/>
                    </w:rPr>
                  </w:pPr>
                  <w:r>
                    <w:rPr>
                      <w:rFonts w:cs="Arial"/>
                      <w:szCs w:val="18"/>
                      <w:highlight w:val="yellow"/>
                    </w:rPr>
                    <w:t>Smart Grid: synchronicity between PMUs</w:t>
                  </w:r>
                </w:p>
              </w:tc>
            </w:tr>
          </w:tbl>
          <w:p>
            <w:pPr>
              <w:spacing w:afterLines="50"/>
              <w:jc w:val="left"/>
            </w:pPr>
          </w:p>
        </w:tc>
      </w:tr>
    </w:tbl>
    <w:p>
      <w:pPr>
        <w:spacing w:afterLines="50"/>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7B13BEF"/>
    <w:multiLevelType w:val="multilevel"/>
    <w:tmpl w:val="37B13BE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rPr>
        <w:i w:val="0"/>
        <w:iCs w:val="0"/>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C5F4E43"/>
    <w:multiLevelType w:val="multilevel"/>
    <w:tmpl w:val="3C5F4E43"/>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4F605A2C"/>
    <w:multiLevelType w:val="multilevel"/>
    <w:tmpl w:val="4F605A2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A8B3682"/>
    <w:multiLevelType w:val="multilevel"/>
    <w:tmpl w:val="6A8B3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600F2F"/>
    <w:multiLevelType w:val="multilevel"/>
    <w:tmpl w:val="72600F2F"/>
    <w:lvl w:ilvl="0" w:tentative="0">
      <w:start w:val="6"/>
      <w:numFmt w:val="bullet"/>
      <w:lvlText w:val="-"/>
      <w:lvlJc w:val="left"/>
      <w:pPr>
        <w:ind w:left="360" w:hanging="360"/>
      </w:pPr>
      <w:rPr>
        <w:rFonts w:hint="default" w:ascii="Arial" w:hAnsi="Arial" w:eastAsia="宋体"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4"/>
  </w:num>
  <w:num w:numId="3">
    <w:abstractNumId w:val="7"/>
  </w:num>
  <w:num w:numId="4">
    <w:abstractNumId w:val="1"/>
  </w:num>
  <w:num w:numId="5">
    <w:abstractNumId w:val="2"/>
  </w:num>
  <w:num w:numId="6">
    <w:abstractNumId w:val="9"/>
  </w:num>
  <w:num w:numId="7">
    <w:abstractNumId w:val="3"/>
  </w:num>
  <w:num w:numId="8">
    <w:abstractNumId w:val="5"/>
  </w:num>
  <w:num w:numId="9">
    <w:abstractNumId w:val="6"/>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17F33C1A"/>
    <w:rsid w:val="523A66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uiPriority w:val="99"/>
    <w:pPr>
      <w:spacing w:after="0" w:line="240" w:lineRule="auto"/>
    </w:pPr>
    <w:rPr>
      <w:rFonts w:ascii="Lucida Grande" w:hAnsi="Lucida Grande"/>
      <w:sz w:val="18"/>
      <w:szCs w:val="18"/>
      <w:lang w:eastAsia="zh-CN"/>
    </w:rPr>
  </w:style>
  <w:style w:type="paragraph" w:styleId="19">
    <w:name w:val="footer"/>
    <w:basedOn w:val="20"/>
    <w:link w:val="38"/>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uiPriority w:val="99"/>
    <w:pPr>
      <w:ind w:left="200" w:hanging="200" w:hangingChars="200"/>
      <w:contextualSpacing/>
    </w:pPr>
  </w:style>
  <w:style w:type="character" w:styleId="23">
    <w:name w:val="page number"/>
    <w:basedOn w:val="22"/>
    <w:uiPriority w:val="0"/>
  </w:style>
  <w:style w:type="character" w:styleId="24">
    <w:name w:val="Hyperlink"/>
    <w:uiPriority w:val="99"/>
    <w:rPr>
      <w:color w:val="0000FF"/>
      <w:u w:val="single"/>
    </w:rPr>
  </w:style>
  <w:style w:type="character" w:styleId="25">
    <w:name w:val="annotation reference"/>
    <w:semiHidden/>
    <w:unhideWhenUsed/>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9"/>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20"/>
    <w:uiPriority w:val="99"/>
    <w:rPr>
      <w:rFonts w:ascii="Times New Roman" w:hAnsi="Times New Roman" w:eastAsia="宋体" w:cs="Times New Roman"/>
      <w:kern w:val="0"/>
      <w:sz w:val="18"/>
      <w:szCs w:val="18"/>
      <w:lang w:val="en-GB"/>
    </w:rPr>
  </w:style>
  <w:style w:type="character" w:customStyle="1" w:styleId="41">
    <w:name w:val="Balloon Text Char"/>
    <w:link w:val="18"/>
    <w:semiHidden/>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DBE72-8E5A-4B4D-98C8-F2E498F30B80}">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6</Pages>
  <Words>1556</Words>
  <Characters>8874</Characters>
  <Lines>73</Lines>
  <Paragraphs>20</Paragraphs>
  <TotalTime>2334</TotalTime>
  <ScaleCrop>false</ScaleCrop>
  <LinksUpToDate>false</LinksUpToDate>
  <CharactersWithSpaces>10410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2020-08-07T05:33:17Z</dcterms:modified>
  <cp:revision>5958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